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099A7862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433F35">
        <w:rPr>
          <w:rFonts w:ascii="Times New Roman" w:hAnsi="Times New Roman"/>
          <w:b/>
          <w:highlight w:val="yellow"/>
          <w:lang w:val="pl-PL"/>
        </w:rPr>
        <w:t>39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5080D214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433F35">
        <w:rPr>
          <w:rFonts w:ascii="Times New Roman" w:hAnsi="Times New Roman"/>
          <w:lang w:val="pl-PL"/>
        </w:rPr>
        <w:t>10-03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1C467555" w14:textId="77777777" w:rsidR="00433F35" w:rsidRDefault="00433F35" w:rsidP="00E734DA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Rejestracja zmian w Statucie Spółki oraz zmiana adresu strony internetowej Spółki</w:t>
      </w:r>
    </w:p>
    <w:p w14:paraId="77EAF890" w14:textId="561006C8" w:rsidR="00E734DA" w:rsidRPr="00E734DA" w:rsidRDefault="00E734DA" w:rsidP="00E734DA">
      <w:pPr>
        <w:spacing w:after="240"/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: Art. 56 ust. 1 pkt 2 Ustawy o ofercie - informacje bieżące i okresowe</w:t>
      </w:r>
    </w:p>
    <w:p w14:paraId="0C4EB5A9" w14:textId="77777777" w:rsidR="00BD55AB" w:rsidRPr="00E734DA" w:rsidRDefault="00BD55AB" w:rsidP="00BD55AB">
      <w:pPr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4C57FE30" w14:textId="272210FC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_"Spółka"_, w nawiązaniu do raportu bieżącego nr 19/2018 w sprawie uchwał podjętych przez Zwyczajne Walne Zgromadzenie Graviton Capital S</w:t>
      </w:r>
      <w:r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.A. w dniu 20 czerwca 2018 r., ("Walne Zgromadzenie")</w:t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 informuje, że w dniu dzisiejszym Spółka powzięła informację o dokonaniu przez Sąd Rejonowy dla Wrocławia-Fabrycznej we Wrocławiu, VI Wydział Gospodarc</w:t>
      </w:r>
      <w:r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zy Krajowego Rejestru Sądowego ("Sąd")</w:t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 w dniu 5 września 2018 r., rejestracji zmian Statutu Spółki dokonanych przez Walne Zgromadzenie. Sąd dokonał rejestracji zmiany Statutu Spółki poprzez uchylenie art. 3A Statutu, w następującym brzmieniu:</w:t>
      </w:r>
    </w:p>
    <w:p w14:paraId="570DA666" w14:textId="6C9E45FC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"Artykuł 3A</w:t>
      </w:r>
    </w:p>
    <w:p w14:paraId="5F4E509F" w14:textId="77777777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1. Zarząd jest upoważniony do podwyższenia kapitału zakładowego Spółki o łączną kwotę nie wyższą 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niż 1.237.500 zł _słownie: jeden milion dwieście trzydzieści siedem tysięcy pięćset złotych_, poprzez 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emisję nie więcej niż 1.546.875 _słownie: jeden milion pięćset czterdzieści sześć tysięcy osiemset siedemdziesiąt pięć_ akcji, o wartości nominalnej 0,80 zł _słownie: osiemdziesiąt groszy_ każda _"Kapitał Docelowy"_.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2. Upoważnienie Zarządu do podwyższenia kapitału zakładowego Spółki oraz do wyemitowania akcji w ramach limitu określonego w ust. 1 zostało udzielone na okres 3 lat od dnia wpisu do rejestru przedsiębiorców Krajowego Rejestru Sądowego zmiany Statutu przewidzianego niniejszą uchwałą.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3. Akcje emitowane zgodnie z ust. 1 mogą być obejmowane w zamian za wkłady pieniężne lub niepieniężne.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4. Z upoważnienia określonego w ust. 1 Zarząd może skorzystać, dokonując jednego lub większej ilości podwyższeń kapitału zakładowego w granicach Kapitału Docelowego.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5. Zarząd jest upoważniony do pozbawienia dotychczasowych akcjonariuszy prawa poboru akcji emitowanych w ramach Kapitału Docelowego w całości lub w części, w odniesieniu do każdego podwyższenia kapitału zakładowego dokonywanego w granicach Kapitału Docelowego. Każdorazowe pozbawienie prawa poboru wymaga zgody Rady Nadzorczej.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6. Uchwały Zarządu w sprawach ustalenia ceny emisyjnej oraz wydania akcji emitowanych w ramach Kapitału Docelowego w zamian za wkłady niepieniężne nie wymagają zgody Rady Nadzorczej.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7. Zarząd jest upoważniony do emitowania warrantów subskrypcyjnych imiennych lub na okaziciela uprawniających ich posiadacza do zapisu lub objęcia akcji w ramach Kapitału Docelowego, z wyłączeniem prawa poboru _warranty subskrypcyjne_.</w:t>
      </w:r>
    </w:p>
    <w:p w14:paraId="4E3BCD92" w14:textId="5A77CB03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8. Zarząd decyduje o wszystkich sprawach związanych z podwyższeniem kapitału zakładowego w ramach Kapitału Docelowego, w szczególności Zarząd jest umocowany do:</w:t>
      </w:r>
    </w:p>
    <w:p w14:paraId="57F52737" w14:textId="77777777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lastRenderedPageBreak/>
        <w:t>_a_ podejmowania uchwał oraz innych działań w sprawie dematerializacji akcji oraz zawierania z Krajowym Depozytem Papierów Wartościowych S.A. umów o rejestrację akcji,</w:t>
      </w:r>
    </w:p>
    <w:p w14:paraId="4A71A2C2" w14:textId="72EE53E6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_b_ podejmowania czynności mających na celu wprowadzenie akcji do obrotu w Alternatywnym Systemie Obrotu NewConnect lub ich dopuszczenie do obrotu na rynku regulowanym, prowadzonym przez Giełdę Papierów Wartościowych w Warszawie S.A.,</w:t>
      </w:r>
    </w:p>
    <w:p w14:paraId="33A1E104" w14:textId="047DBEAD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_c_ zawierania umów o subemisję inwestycyjną lub subemisję usługową lub innych umów zabezpieczających powodzenie emisji akcji".</w:t>
      </w:r>
    </w:p>
    <w:p w14:paraId="55EDF0D6" w14:textId="7B228C50" w:rsid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Powyższa zmiana Statutu Spółki została dokonana na mocy uchwały nr 20 Walnego Zgromadzenia z dnia 20 czerwca 2018 r. w sprawie uchylenia kapitału docelowego Spółki i zmiany statutu Spółki. </w:t>
      </w:r>
    </w:p>
    <w:p w14:paraId="2ED52074" w14:textId="0333F3F4" w:rsidR="00433F35" w:rsidRPr="00433F35" w:rsidRDefault="00433F35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Jednocześnie Zarząd informuje, że zmianie uległ adres strony internetowej Spółki. Nowy adres strony internetowej to: www.reinocapital.pl . </w:t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Podstawa prawna szczegółowa: </w:t>
      </w:r>
    </w:p>
    <w:p w14:paraId="4AD4F847" w14:textId="414AD037" w:rsidR="00BD55AB" w:rsidRPr="00E734DA" w:rsidRDefault="00CA210F" w:rsidP="00CA210F">
      <w:pPr>
        <w:jc w:val="both"/>
        <w:rPr>
          <w:rStyle w:val="a11"/>
          <w:rFonts w:ascii="Times New Roman" w:hAnsi="Times New Roman"/>
          <w:iCs/>
          <w:sz w:val="22"/>
          <w:szCs w:val="22"/>
          <w:lang w:val="pl-PL"/>
        </w:rPr>
      </w:pPr>
      <w:r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Szczegółowa p</w:t>
      </w:r>
      <w:r w:rsidR="00BD55AB" w:rsidRPr="00E734DA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odstawa prawna:</w:t>
      </w:r>
      <w:r w:rsidR="00BD55AB" w:rsidRPr="00E734DA">
        <w:rPr>
          <w:rStyle w:val="a11"/>
          <w:rFonts w:ascii="Times New Roman" w:hAnsi="Times New Roman"/>
          <w:iCs/>
          <w:sz w:val="22"/>
          <w:szCs w:val="22"/>
          <w:lang w:val="pl-PL"/>
        </w:rPr>
        <w:t xml:space="preserve"> </w:t>
      </w:r>
    </w:p>
    <w:p w14:paraId="6745A9DC" w14:textId="56CA2EC6" w:rsidR="00CA210F" w:rsidRPr="00CA210F" w:rsidRDefault="00433F35" w:rsidP="00CA210F">
      <w:pPr>
        <w:jc w:val="both"/>
        <w:rPr>
          <w:rFonts w:ascii="Times New Roman" w:eastAsia="Times New Roman" w:hAnsi="Times New Roman" w:cs="Times New Roman"/>
          <w:lang w:val="pl-PL"/>
        </w:rPr>
      </w:pPr>
      <w:r w:rsidRPr="00433F35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§ 5 pkt 1_ oraz pkt 10_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  <w:r w:rsidR="00CA210F" w:rsidRPr="00CA210F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223DAB75" w14:textId="77777777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bookmarkStart w:id="0" w:name="_GoBack"/>
      <w:bookmarkEnd w:id="0"/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4CE5D" w14:textId="77777777" w:rsidR="00693638" w:rsidRDefault="00693638" w:rsidP="00C95FF8">
      <w:pPr>
        <w:spacing w:after="0" w:line="240" w:lineRule="auto"/>
      </w:pPr>
      <w:r>
        <w:separator/>
      </w:r>
    </w:p>
  </w:endnote>
  <w:endnote w:type="continuationSeparator" w:id="0">
    <w:p w14:paraId="4100F336" w14:textId="77777777" w:rsidR="00693638" w:rsidRDefault="00693638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FEFD" w14:textId="77777777" w:rsidR="00693638" w:rsidRDefault="00693638" w:rsidP="00C95FF8">
      <w:pPr>
        <w:spacing w:after="0" w:line="240" w:lineRule="auto"/>
      </w:pPr>
      <w:r>
        <w:separator/>
      </w:r>
    </w:p>
  </w:footnote>
  <w:footnote w:type="continuationSeparator" w:id="0">
    <w:p w14:paraId="76CF8558" w14:textId="77777777" w:rsidR="00693638" w:rsidRDefault="00693638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5FA0"/>
    <w:rsid w:val="00456E63"/>
    <w:rsid w:val="00465979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93638"/>
    <w:rsid w:val="006F02A4"/>
    <w:rsid w:val="00704F48"/>
    <w:rsid w:val="007800A9"/>
    <w:rsid w:val="00787EA5"/>
    <w:rsid w:val="00792580"/>
    <w:rsid w:val="007A0B26"/>
    <w:rsid w:val="007C736B"/>
    <w:rsid w:val="007D2206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17AA-BC40-4351-A383-55EFB117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Pryczynicz</dc:creator>
  <cp:lastModifiedBy>Monika Ponarad</cp:lastModifiedBy>
  <cp:revision>2</cp:revision>
  <cp:lastPrinted>2018-08-14T15:34:00Z</cp:lastPrinted>
  <dcterms:created xsi:type="dcterms:W3CDTF">2019-04-20T09:14:00Z</dcterms:created>
  <dcterms:modified xsi:type="dcterms:W3CDTF">2019-04-20T09:14:00Z</dcterms:modified>
</cp:coreProperties>
</file>