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0F1B8" w14:textId="1B6D09F7" w:rsidR="004052F1" w:rsidRDefault="004052F1" w:rsidP="00220F30">
      <w:pPr>
        <w:spacing w:after="120"/>
        <w:jc w:val="both"/>
        <w:rPr>
          <w:rFonts w:ascii="Arial" w:hAnsi="Arial" w:cs="Arial"/>
          <w:b/>
        </w:rPr>
      </w:pPr>
      <w:r w:rsidRPr="004052F1">
        <w:rPr>
          <w:rFonts w:ascii="Arial" w:hAnsi="Arial" w:cs="Arial"/>
          <w:b/>
        </w:rPr>
        <w:t xml:space="preserve">Raport bieżący nr </w:t>
      </w:r>
      <w:r w:rsidR="004A7E14">
        <w:rPr>
          <w:rFonts w:ascii="Arial" w:hAnsi="Arial" w:cs="Arial"/>
          <w:b/>
        </w:rPr>
        <w:t>7</w:t>
      </w:r>
      <w:r w:rsidRPr="004052F1">
        <w:rPr>
          <w:rFonts w:ascii="Arial" w:hAnsi="Arial" w:cs="Arial"/>
          <w:b/>
        </w:rPr>
        <w:t>/201</w:t>
      </w:r>
      <w:r w:rsidR="006A7959">
        <w:rPr>
          <w:rFonts w:ascii="Arial" w:hAnsi="Arial" w:cs="Arial"/>
          <w:b/>
        </w:rPr>
        <w:t>6</w:t>
      </w:r>
      <w:r w:rsidRPr="004052F1">
        <w:rPr>
          <w:rFonts w:ascii="Arial" w:hAnsi="Arial" w:cs="Arial"/>
          <w:b/>
        </w:rPr>
        <w:t xml:space="preserve"> z dnia</w:t>
      </w:r>
      <w:r w:rsidR="004A7E14">
        <w:rPr>
          <w:rFonts w:ascii="Arial" w:hAnsi="Arial" w:cs="Arial"/>
          <w:b/>
        </w:rPr>
        <w:t xml:space="preserve"> 4</w:t>
      </w:r>
      <w:r w:rsidR="00C63225">
        <w:rPr>
          <w:rFonts w:ascii="Arial" w:hAnsi="Arial" w:cs="Arial"/>
          <w:b/>
        </w:rPr>
        <w:t xml:space="preserve"> kwietnia </w:t>
      </w:r>
      <w:r w:rsidRPr="004052F1">
        <w:rPr>
          <w:rFonts w:ascii="Arial" w:hAnsi="Arial" w:cs="Arial"/>
          <w:b/>
        </w:rPr>
        <w:t>201</w:t>
      </w:r>
      <w:r w:rsidR="006A7959">
        <w:rPr>
          <w:rFonts w:ascii="Arial" w:hAnsi="Arial" w:cs="Arial"/>
          <w:b/>
        </w:rPr>
        <w:t>6</w:t>
      </w:r>
    </w:p>
    <w:p w14:paraId="55F40A21" w14:textId="77777777" w:rsidR="004052F1" w:rsidRDefault="004052F1" w:rsidP="00220F30">
      <w:pPr>
        <w:spacing w:after="120"/>
        <w:jc w:val="both"/>
        <w:rPr>
          <w:rFonts w:ascii="Arial" w:hAnsi="Arial" w:cs="Arial"/>
          <w:b/>
        </w:rPr>
      </w:pPr>
    </w:p>
    <w:p w14:paraId="42188235" w14:textId="5CA63108" w:rsidR="00220F30" w:rsidRPr="009619C4" w:rsidRDefault="00220F30" w:rsidP="00220F30">
      <w:pPr>
        <w:spacing w:after="120"/>
        <w:jc w:val="both"/>
        <w:rPr>
          <w:rFonts w:ascii="Arial" w:hAnsi="Arial" w:cs="Arial"/>
        </w:rPr>
      </w:pPr>
      <w:r w:rsidRPr="00AF309D">
        <w:rPr>
          <w:rFonts w:ascii="Arial" w:hAnsi="Arial" w:cs="Arial"/>
          <w:b/>
        </w:rPr>
        <w:t>Data sporządzenia:</w:t>
      </w:r>
      <w:r w:rsidR="00583E82">
        <w:rPr>
          <w:rFonts w:ascii="Arial" w:hAnsi="Arial" w:cs="Arial"/>
          <w:b/>
        </w:rPr>
        <w:t xml:space="preserve"> </w:t>
      </w:r>
      <w:r w:rsidR="004A7E14" w:rsidRPr="004A7E14">
        <w:rPr>
          <w:rFonts w:ascii="Arial" w:hAnsi="Arial" w:cs="Arial"/>
        </w:rPr>
        <w:t>2016-04-04</w:t>
      </w:r>
      <w:r w:rsidR="004A7E14" w:rsidRPr="004A7E14">
        <w:rPr>
          <w:rFonts w:ascii="Arial" w:hAnsi="Arial" w:cs="Arial"/>
        </w:rPr>
        <w:tab/>
      </w:r>
    </w:p>
    <w:p w14:paraId="68052676" w14:textId="6C00895D" w:rsidR="008048A0" w:rsidRPr="00DD3865" w:rsidRDefault="00220F30" w:rsidP="00DD3865">
      <w:pPr>
        <w:jc w:val="both"/>
        <w:rPr>
          <w:rFonts w:ascii="Arial" w:hAnsi="Arial" w:cs="Arial"/>
        </w:rPr>
      </w:pPr>
      <w:r w:rsidRPr="00AF309D">
        <w:rPr>
          <w:rFonts w:ascii="Arial" w:hAnsi="Arial" w:cs="Arial"/>
          <w:b/>
        </w:rPr>
        <w:t>Temat:</w:t>
      </w:r>
      <w:r w:rsidRPr="009619C4">
        <w:rPr>
          <w:rFonts w:ascii="Arial" w:hAnsi="Arial" w:cs="Arial"/>
        </w:rPr>
        <w:t xml:space="preserve"> </w:t>
      </w:r>
      <w:r w:rsidR="004A7E14" w:rsidRPr="004A7E14">
        <w:rPr>
          <w:rFonts w:ascii="Arial" w:hAnsi="Arial" w:cs="Arial"/>
        </w:rPr>
        <w:t>Złożenie wniosku do GPW o zawieszenie notowań akcji Spółki w związku z procedurą ich scalenia</w:t>
      </w:r>
      <w:r w:rsidR="00725C0D" w:rsidRPr="00725C0D">
        <w:rPr>
          <w:rFonts w:ascii="Arial" w:hAnsi="Arial" w:cs="Arial"/>
        </w:rPr>
        <w:tab/>
      </w:r>
    </w:p>
    <w:p w14:paraId="5DF3A9A4" w14:textId="49A326F9" w:rsidR="00735987" w:rsidRPr="00735987" w:rsidRDefault="00735987" w:rsidP="00735987">
      <w:pPr>
        <w:spacing w:line="320" w:lineRule="exact"/>
        <w:jc w:val="both"/>
        <w:rPr>
          <w:rStyle w:val="a11"/>
          <w:rFonts w:ascii="Arial" w:hAnsi="Arial" w:cs="Arial"/>
          <w:b/>
          <w:sz w:val="22"/>
          <w:szCs w:val="22"/>
        </w:rPr>
      </w:pPr>
      <w:r w:rsidRPr="001F7D89">
        <w:rPr>
          <w:rFonts w:ascii="Arial" w:hAnsi="Arial" w:cs="Arial"/>
          <w:b/>
        </w:rPr>
        <w:t xml:space="preserve">Podstawa prawna: </w:t>
      </w:r>
      <w:r>
        <w:rPr>
          <w:rFonts w:ascii="Arial" w:hAnsi="Arial" w:cs="Arial"/>
          <w:b/>
        </w:rPr>
        <w:t xml:space="preserve"> </w:t>
      </w:r>
      <w:r w:rsidR="004A7E14" w:rsidRPr="004A7E14">
        <w:rPr>
          <w:rFonts w:ascii="Arial" w:hAnsi="Arial" w:cs="Arial"/>
        </w:rPr>
        <w:t>Art. 56 ust. 1 pkt 1 Ustawy o ofercie - informacje poufne</w:t>
      </w:r>
      <w:r w:rsidR="00084E08" w:rsidRPr="00084E08">
        <w:rPr>
          <w:rFonts w:ascii="Arial" w:hAnsi="Arial" w:cs="Arial"/>
        </w:rPr>
        <w:tab/>
      </w:r>
    </w:p>
    <w:p w14:paraId="5FCBDC72" w14:textId="77777777" w:rsidR="004A7E14" w:rsidRPr="004A7E14" w:rsidRDefault="00220F30" w:rsidP="004A7E14">
      <w:pPr>
        <w:jc w:val="both"/>
        <w:rPr>
          <w:rFonts w:ascii="Arial" w:hAnsi="Arial" w:cs="Arial"/>
        </w:rPr>
      </w:pPr>
      <w:r w:rsidRPr="00AF309D">
        <w:rPr>
          <w:rStyle w:val="a11"/>
          <w:rFonts w:ascii="Arial" w:hAnsi="Arial" w:cs="Arial"/>
          <w:b/>
          <w:iCs/>
          <w:sz w:val="22"/>
          <w:szCs w:val="22"/>
        </w:rPr>
        <w:t xml:space="preserve">Treść raportu: </w:t>
      </w:r>
      <w:r w:rsidR="004A7E14" w:rsidRPr="004A7E14">
        <w:rPr>
          <w:rFonts w:ascii="Arial" w:hAnsi="Arial" w:cs="Arial"/>
        </w:rPr>
        <w:t>Zarząd Graviton Capital S.A. _dalej: "Spółka", "Emitent"_ informuje, iż wykonując postanowienia Uchwały nr 3 Nadzwyczajnego Walnego Zgromadzenia Spółki z dnia 8 lutego 2016 r. w sprawie połączenia akcji spółki Graviton Capital S.A. poprzez podwyższenie wartości nominalnej akcji przy jednoczesnym zmniejszeniu ogólnej liczby akcji spółki bez zmiany wysokości kapitału zakładowego, zmiany Statutu Spółki oraz udzielenia Radzie Nadzorczej upoważnienia do przyjęcia tekstu jednolitego Statutu Spółki, Emitent w dniu 4 kwietnia 2016 r. złożył do Giełdy Papierów Wartościowych w Warszawie S.A. wniosek o zawieszenie notowań akcji Spółki w okresie od 15 kwietnia 2016 r. _pierwszy dzień zawieszenia notowań_ do dnia 27 kwietnia 2016 r. _ostatni dzień zawieszenia notowań_, w związku z planowanym połączeniem akcji w depozycie.</w:t>
      </w:r>
    </w:p>
    <w:p w14:paraId="2AD4EBAA" w14:textId="77777777" w:rsidR="004A7E14" w:rsidRPr="004A7E14" w:rsidRDefault="004A7E14" w:rsidP="004A7E14">
      <w:pPr>
        <w:jc w:val="both"/>
        <w:rPr>
          <w:rFonts w:ascii="Arial" w:hAnsi="Arial" w:cs="Arial"/>
        </w:rPr>
      </w:pPr>
    </w:p>
    <w:p w14:paraId="4561A1F6" w14:textId="77777777" w:rsidR="004A7E14" w:rsidRPr="004A7E14" w:rsidRDefault="004A7E14" w:rsidP="004A7E14">
      <w:pPr>
        <w:jc w:val="both"/>
        <w:rPr>
          <w:rFonts w:ascii="Arial" w:hAnsi="Arial" w:cs="Arial"/>
        </w:rPr>
      </w:pPr>
      <w:r w:rsidRPr="004A7E14">
        <w:rPr>
          <w:rFonts w:ascii="Arial" w:hAnsi="Arial" w:cs="Arial"/>
        </w:rPr>
        <w:t>Zarząd Spółki informuje, iż na podstawie upoważnienia i zobowiązania zawartego w § 3 pkt 1 Uchwały nr 3 Nadzwyczajnego Walnego Zgromadzenia Spółki z dnia 8 lutego 2016 r. wyznaczył Dzień Referencyjny na dzień 20 kwietnia 2016 r. Planowana data scalenia akcji w depozycie przypada na dzień 27 kwietnia 2016 r.</w:t>
      </w:r>
    </w:p>
    <w:p w14:paraId="4D8F45F7" w14:textId="77777777" w:rsidR="004A7E14" w:rsidRPr="004A7E14" w:rsidRDefault="004A7E14" w:rsidP="004A7E14">
      <w:pPr>
        <w:jc w:val="both"/>
        <w:rPr>
          <w:rFonts w:ascii="Arial" w:hAnsi="Arial" w:cs="Arial"/>
        </w:rPr>
      </w:pPr>
    </w:p>
    <w:p w14:paraId="0C7BE847" w14:textId="77777777" w:rsidR="004A7E14" w:rsidRPr="004A7E14" w:rsidRDefault="004A7E14" w:rsidP="004A7E14">
      <w:pPr>
        <w:jc w:val="both"/>
        <w:rPr>
          <w:rFonts w:ascii="Arial" w:hAnsi="Arial" w:cs="Arial"/>
        </w:rPr>
      </w:pPr>
      <w:r w:rsidRPr="004A7E14">
        <w:rPr>
          <w:rFonts w:ascii="Arial" w:hAnsi="Arial" w:cs="Arial"/>
        </w:rPr>
        <w:t>Zarząd Spółki niniejszym zwraca się również do Akcjonariuszy Spółki z prośbą o dostosowanie stanu posiadania akcji Spółki na rachunkach papierów wartościowych w ten sposób, aby posiadana liczba akcji Spółki w Dniu Referencyjnym, stanowiła jedno – lub wielokrotność liczby dziesięć.</w:t>
      </w:r>
    </w:p>
    <w:p w14:paraId="088AB394" w14:textId="77777777" w:rsidR="004A7E14" w:rsidRPr="004A7E14" w:rsidRDefault="004A7E14" w:rsidP="004A7E14">
      <w:pPr>
        <w:jc w:val="both"/>
        <w:rPr>
          <w:rFonts w:ascii="Arial" w:hAnsi="Arial" w:cs="Arial"/>
        </w:rPr>
      </w:pPr>
    </w:p>
    <w:p w14:paraId="4CF826E6" w14:textId="77777777" w:rsidR="004A7E14" w:rsidRDefault="004A7E14" w:rsidP="004A7E14">
      <w:pPr>
        <w:jc w:val="both"/>
        <w:rPr>
          <w:rFonts w:ascii="Arial" w:hAnsi="Arial" w:cs="Arial"/>
        </w:rPr>
      </w:pPr>
      <w:r w:rsidRPr="004A7E14">
        <w:rPr>
          <w:rFonts w:ascii="Arial" w:hAnsi="Arial" w:cs="Arial"/>
        </w:rPr>
        <w:t>Powyższa prośba ma na celu zminimalizowanie ryzyka niedojścia do skutku procedury scalenia akcji Spółki, z uwagi na ograniczoną ilość akcji, które zostaną przyznane Akcjonariuszom w zamian za akcje stanowiące tzw. resztówki scaleniowe.</w:t>
      </w:r>
    </w:p>
    <w:p w14:paraId="01215C5B" w14:textId="4C46A36B" w:rsidR="00993ECA" w:rsidRPr="00A07084" w:rsidRDefault="00993ECA" w:rsidP="004A7E14">
      <w:pPr>
        <w:jc w:val="both"/>
        <w:rPr>
          <w:rFonts w:ascii="Arial" w:hAnsi="Arial" w:cs="Arial"/>
          <w:b/>
          <w:bCs/>
        </w:rPr>
      </w:pPr>
      <w:r w:rsidRPr="00A07084">
        <w:rPr>
          <w:rFonts w:ascii="Arial" w:hAnsi="Arial" w:cs="Arial"/>
          <w:b/>
          <w:bCs/>
        </w:rPr>
        <w:t>Podpis:</w:t>
      </w:r>
    </w:p>
    <w:p w14:paraId="191C2B26" w14:textId="577CB17C" w:rsidR="00725C0D" w:rsidRDefault="00084E08" w:rsidP="00725C0D">
      <w:pPr>
        <w:jc w:val="both"/>
        <w:rPr>
          <w:rFonts w:ascii="Arial" w:hAnsi="Arial" w:cs="Arial"/>
          <w:bCs/>
        </w:rPr>
      </w:pPr>
      <w:r w:rsidRPr="00084E08">
        <w:rPr>
          <w:rFonts w:ascii="Arial" w:hAnsi="Arial" w:cs="Arial"/>
          <w:bCs/>
        </w:rPr>
        <w:t>Adrian Dzielnicki</w:t>
      </w:r>
      <w:r>
        <w:rPr>
          <w:rFonts w:ascii="Arial" w:hAnsi="Arial" w:cs="Arial"/>
          <w:bCs/>
        </w:rPr>
        <w:t xml:space="preserve"> </w:t>
      </w:r>
      <w:r w:rsidR="00725C0D">
        <w:rPr>
          <w:rFonts w:ascii="Arial" w:hAnsi="Arial" w:cs="Arial"/>
          <w:bCs/>
        </w:rPr>
        <w:t>– Prezes Zarządu</w:t>
      </w:r>
      <w:r w:rsidR="00725C0D">
        <w:rPr>
          <w:rFonts w:ascii="Arial" w:hAnsi="Arial" w:cs="Arial"/>
          <w:bCs/>
        </w:rPr>
        <w:tab/>
      </w:r>
    </w:p>
    <w:p w14:paraId="71153C26" w14:textId="77777777" w:rsidR="000D777E" w:rsidRDefault="000D777E" w:rsidP="00514AB8">
      <w:pPr>
        <w:jc w:val="both"/>
        <w:rPr>
          <w:rFonts w:ascii="Arial" w:hAnsi="Arial" w:cs="Arial"/>
        </w:rPr>
      </w:pPr>
    </w:p>
    <w:p w14:paraId="6CC0F4AB" w14:textId="16996128" w:rsidR="004C2DB5" w:rsidRDefault="004C2DB5" w:rsidP="00514AB8">
      <w:pPr>
        <w:jc w:val="both"/>
        <w:rPr>
          <w:rFonts w:ascii="Arial" w:hAnsi="Arial" w:cs="Arial"/>
          <w:bCs/>
        </w:rPr>
      </w:pPr>
    </w:p>
    <w:sectPr w:rsidR="004C2D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7F224" w14:textId="77777777" w:rsidR="00C17F6A" w:rsidRDefault="00C17F6A" w:rsidP="004E5EC3">
      <w:pPr>
        <w:spacing w:after="0" w:line="240" w:lineRule="auto"/>
      </w:pPr>
      <w:r>
        <w:separator/>
      </w:r>
    </w:p>
  </w:endnote>
  <w:endnote w:type="continuationSeparator" w:id="0">
    <w:p w14:paraId="1F19B015" w14:textId="77777777" w:rsidR="00C17F6A" w:rsidRDefault="00C17F6A" w:rsidP="004E5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02E68" w14:textId="77777777" w:rsidR="00C17F6A" w:rsidRDefault="00C17F6A" w:rsidP="004E5EC3">
      <w:pPr>
        <w:spacing w:after="0" w:line="240" w:lineRule="auto"/>
      </w:pPr>
      <w:r>
        <w:separator/>
      </w:r>
    </w:p>
  </w:footnote>
  <w:footnote w:type="continuationSeparator" w:id="0">
    <w:p w14:paraId="235F94E2" w14:textId="77777777" w:rsidR="00C17F6A" w:rsidRDefault="00C17F6A" w:rsidP="004E5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46D9"/>
    <w:multiLevelType w:val="hybridMultilevel"/>
    <w:tmpl w:val="646E4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A53916"/>
    <w:multiLevelType w:val="hybridMultilevel"/>
    <w:tmpl w:val="BCDA99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057F53"/>
    <w:multiLevelType w:val="multilevel"/>
    <w:tmpl w:val="C214F21A"/>
    <w:lvl w:ilvl="0">
      <w:start w:val="1"/>
      <w:numFmt w:val="decimal"/>
      <w:lvlText w:val="%1."/>
      <w:lvlJc w:val="left"/>
      <w:pPr>
        <w:ind w:left="360" w:hanging="360"/>
      </w:pPr>
      <w:rPr>
        <w:b/>
      </w:rPr>
    </w:lvl>
    <w:lvl w:ilvl="1">
      <w:start w:val="1"/>
      <w:numFmt w:val="decimal"/>
      <w:lvlText w:val="%1.%2."/>
      <w:lvlJc w:val="left"/>
      <w:pPr>
        <w:ind w:left="792" w:hanging="432"/>
      </w:pPr>
      <w:rPr>
        <w:b w:val="0"/>
        <w:sz w:val="22"/>
      </w:rPr>
    </w:lvl>
    <w:lvl w:ilvl="2">
      <w:start w:val="1"/>
      <w:numFmt w:val="decimal"/>
      <w:lvlText w:val="%1.%2.%3."/>
      <w:lvlJc w:val="left"/>
      <w:pPr>
        <w:ind w:left="3623"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DE03593"/>
    <w:multiLevelType w:val="hybridMultilevel"/>
    <w:tmpl w:val="CD364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6B04D78"/>
    <w:multiLevelType w:val="hybridMultilevel"/>
    <w:tmpl w:val="1C425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648"/>
    <w:rsid w:val="000166E0"/>
    <w:rsid w:val="0007044E"/>
    <w:rsid w:val="00073591"/>
    <w:rsid w:val="000830B3"/>
    <w:rsid w:val="00084E08"/>
    <w:rsid w:val="000D4B44"/>
    <w:rsid w:val="000D777E"/>
    <w:rsid w:val="0012762C"/>
    <w:rsid w:val="001C1D4D"/>
    <w:rsid w:val="001C3D05"/>
    <w:rsid w:val="001C51A1"/>
    <w:rsid w:val="001E10FA"/>
    <w:rsid w:val="001E57F1"/>
    <w:rsid w:val="002155B1"/>
    <w:rsid w:val="00220F30"/>
    <w:rsid w:val="00223DA3"/>
    <w:rsid w:val="00230BBE"/>
    <w:rsid w:val="002509B1"/>
    <w:rsid w:val="0027355F"/>
    <w:rsid w:val="002B1110"/>
    <w:rsid w:val="003122D1"/>
    <w:rsid w:val="0032040B"/>
    <w:rsid w:val="003463D0"/>
    <w:rsid w:val="0037035B"/>
    <w:rsid w:val="003712BE"/>
    <w:rsid w:val="00386490"/>
    <w:rsid w:val="003F3350"/>
    <w:rsid w:val="004052F1"/>
    <w:rsid w:val="004054D7"/>
    <w:rsid w:val="00407959"/>
    <w:rsid w:val="00433927"/>
    <w:rsid w:val="00441AE5"/>
    <w:rsid w:val="00472410"/>
    <w:rsid w:val="004808AB"/>
    <w:rsid w:val="00481B13"/>
    <w:rsid w:val="004942C7"/>
    <w:rsid w:val="004A7E14"/>
    <w:rsid w:val="004C2DB5"/>
    <w:rsid w:val="004E5EC3"/>
    <w:rsid w:val="00514AB8"/>
    <w:rsid w:val="00516871"/>
    <w:rsid w:val="00534669"/>
    <w:rsid w:val="005830C7"/>
    <w:rsid w:val="00583D9F"/>
    <w:rsid w:val="00583E82"/>
    <w:rsid w:val="005E7C0D"/>
    <w:rsid w:val="00600DEC"/>
    <w:rsid w:val="00620216"/>
    <w:rsid w:val="00693AC6"/>
    <w:rsid w:val="006A1FF5"/>
    <w:rsid w:val="006A7959"/>
    <w:rsid w:val="006B5648"/>
    <w:rsid w:val="006C7B04"/>
    <w:rsid w:val="006D236D"/>
    <w:rsid w:val="00703240"/>
    <w:rsid w:val="00722476"/>
    <w:rsid w:val="00725C0D"/>
    <w:rsid w:val="00727855"/>
    <w:rsid w:val="00735987"/>
    <w:rsid w:val="007436E3"/>
    <w:rsid w:val="007B146E"/>
    <w:rsid w:val="007D210B"/>
    <w:rsid w:val="008048A0"/>
    <w:rsid w:val="00825433"/>
    <w:rsid w:val="008603B8"/>
    <w:rsid w:val="008B171D"/>
    <w:rsid w:val="008B33DB"/>
    <w:rsid w:val="0091023B"/>
    <w:rsid w:val="009217D3"/>
    <w:rsid w:val="00945EF6"/>
    <w:rsid w:val="00993ECA"/>
    <w:rsid w:val="009F129B"/>
    <w:rsid w:val="00A06902"/>
    <w:rsid w:val="00A31912"/>
    <w:rsid w:val="00A47B2E"/>
    <w:rsid w:val="00A85FDA"/>
    <w:rsid w:val="00AA51ED"/>
    <w:rsid w:val="00AA6D75"/>
    <w:rsid w:val="00AF309D"/>
    <w:rsid w:val="00B074DD"/>
    <w:rsid w:val="00B33E7C"/>
    <w:rsid w:val="00B42E76"/>
    <w:rsid w:val="00B470E9"/>
    <w:rsid w:val="00B82B9E"/>
    <w:rsid w:val="00B91236"/>
    <w:rsid w:val="00B9681B"/>
    <w:rsid w:val="00BA584E"/>
    <w:rsid w:val="00BB2F94"/>
    <w:rsid w:val="00BC511A"/>
    <w:rsid w:val="00BD3AE9"/>
    <w:rsid w:val="00C04650"/>
    <w:rsid w:val="00C17F6A"/>
    <w:rsid w:val="00C253AB"/>
    <w:rsid w:val="00C63225"/>
    <w:rsid w:val="00C75772"/>
    <w:rsid w:val="00C86460"/>
    <w:rsid w:val="00CA7268"/>
    <w:rsid w:val="00CB2C2A"/>
    <w:rsid w:val="00CB6480"/>
    <w:rsid w:val="00CC02A8"/>
    <w:rsid w:val="00CC12FB"/>
    <w:rsid w:val="00CE1B3E"/>
    <w:rsid w:val="00CE347D"/>
    <w:rsid w:val="00D04669"/>
    <w:rsid w:val="00D53255"/>
    <w:rsid w:val="00D73D42"/>
    <w:rsid w:val="00DD3865"/>
    <w:rsid w:val="00DF2B7A"/>
    <w:rsid w:val="00E0054E"/>
    <w:rsid w:val="00E22145"/>
    <w:rsid w:val="00E23741"/>
    <w:rsid w:val="00E343ED"/>
    <w:rsid w:val="00E6531C"/>
    <w:rsid w:val="00EA7991"/>
    <w:rsid w:val="00EC44F4"/>
    <w:rsid w:val="00EE46C2"/>
    <w:rsid w:val="00EF26B9"/>
    <w:rsid w:val="00F254ED"/>
    <w:rsid w:val="00F44BDB"/>
    <w:rsid w:val="00F662D6"/>
    <w:rsid w:val="00FD6C9E"/>
    <w:rsid w:val="00FF2320"/>
    <w:rsid w:val="00FF50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F4AA"/>
  <w15:chartTrackingRefBased/>
  <w15:docId w15:val="{AB9FA31A-F88D-4CB5-98B0-EE1694C2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Theme="minorHAnsi" w:hAnsi="Open Sans Light"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DD3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4650"/>
    <w:pPr>
      <w:ind w:left="720"/>
      <w:contextualSpacing/>
    </w:pPr>
  </w:style>
  <w:style w:type="character" w:styleId="Hipercze">
    <w:name w:val="Hyperlink"/>
    <w:basedOn w:val="Domylnaczcionkaakapitu"/>
    <w:uiPriority w:val="99"/>
    <w:unhideWhenUsed/>
    <w:rsid w:val="0012762C"/>
    <w:rPr>
      <w:color w:val="0563C1" w:themeColor="hyperlink"/>
      <w:u w:val="single"/>
    </w:rPr>
  </w:style>
  <w:style w:type="character" w:customStyle="1" w:styleId="a11">
    <w:name w:val="a11"/>
    <w:rsid w:val="00220F30"/>
    <w:rPr>
      <w:rFonts w:ascii="Verdana" w:hAnsi="Verdana" w:cs="Times New Roman"/>
      <w:sz w:val="17"/>
      <w:szCs w:val="17"/>
    </w:rPr>
  </w:style>
  <w:style w:type="paragraph" w:styleId="Tekstdymka">
    <w:name w:val="Balloon Text"/>
    <w:basedOn w:val="Normalny"/>
    <w:link w:val="TekstdymkaZnak"/>
    <w:uiPriority w:val="99"/>
    <w:semiHidden/>
    <w:unhideWhenUsed/>
    <w:rsid w:val="00220F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0F30"/>
    <w:rPr>
      <w:rFonts w:ascii="Segoe UI" w:hAnsi="Segoe UI" w:cs="Segoe UI"/>
      <w:sz w:val="18"/>
      <w:szCs w:val="18"/>
    </w:rPr>
  </w:style>
  <w:style w:type="character" w:styleId="Odwoaniedokomentarza">
    <w:name w:val="annotation reference"/>
    <w:basedOn w:val="Domylnaczcionkaakapitu"/>
    <w:uiPriority w:val="99"/>
    <w:semiHidden/>
    <w:unhideWhenUsed/>
    <w:rsid w:val="00220F30"/>
    <w:rPr>
      <w:sz w:val="16"/>
      <w:szCs w:val="16"/>
    </w:rPr>
  </w:style>
  <w:style w:type="paragraph" w:styleId="Tekstkomentarza">
    <w:name w:val="annotation text"/>
    <w:basedOn w:val="Normalny"/>
    <w:link w:val="TekstkomentarzaZnak"/>
    <w:uiPriority w:val="99"/>
    <w:semiHidden/>
    <w:unhideWhenUsed/>
    <w:rsid w:val="00220F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0F30"/>
    <w:rPr>
      <w:sz w:val="20"/>
      <w:szCs w:val="20"/>
    </w:rPr>
  </w:style>
  <w:style w:type="paragraph" w:styleId="Tematkomentarza">
    <w:name w:val="annotation subject"/>
    <w:basedOn w:val="Tekstkomentarza"/>
    <w:next w:val="Tekstkomentarza"/>
    <w:link w:val="TematkomentarzaZnak"/>
    <w:uiPriority w:val="99"/>
    <w:semiHidden/>
    <w:unhideWhenUsed/>
    <w:rsid w:val="00220F30"/>
    <w:rPr>
      <w:b/>
      <w:bCs/>
    </w:rPr>
  </w:style>
  <w:style w:type="character" w:customStyle="1" w:styleId="TematkomentarzaZnak">
    <w:name w:val="Temat komentarza Znak"/>
    <w:basedOn w:val="TekstkomentarzaZnak"/>
    <w:link w:val="Tematkomentarza"/>
    <w:uiPriority w:val="99"/>
    <w:semiHidden/>
    <w:rsid w:val="00220F30"/>
    <w:rPr>
      <w:b/>
      <w:bCs/>
      <w:sz w:val="20"/>
      <w:szCs w:val="20"/>
    </w:rPr>
  </w:style>
  <w:style w:type="character" w:styleId="Pogrubienie">
    <w:name w:val="Strong"/>
    <w:basedOn w:val="Domylnaczcionkaakapitu"/>
    <w:uiPriority w:val="22"/>
    <w:qFormat/>
    <w:rsid w:val="00B33E7C"/>
    <w:rPr>
      <w:b/>
      <w:bCs/>
    </w:rPr>
  </w:style>
  <w:style w:type="character" w:customStyle="1" w:styleId="Nagwek1Znak">
    <w:name w:val="Nagłówek 1 Znak"/>
    <w:basedOn w:val="Domylnaczcionkaakapitu"/>
    <w:link w:val="Nagwek1"/>
    <w:uiPriority w:val="9"/>
    <w:rsid w:val="00DD3865"/>
    <w:rPr>
      <w:rFonts w:ascii="Times New Roman" w:eastAsia="Times New Roman" w:hAnsi="Times New Roman" w:cs="Times New Roman"/>
      <w:b/>
      <w:bCs/>
      <w:kern w:val="36"/>
      <w:sz w:val="48"/>
      <w:szCs w:val="48"/>
      <w:lang w:eastAsia="pl-PL"/>
    </w:rPr>
  </w:style>
  <w:style w:type="paragraph" w:styleId="Tekstprzypisukocowego">
    <w:name w:val="endnote text"/>
    <w:basedOn w:val="Normalny"/>
    <w:link w:val="TekstprzypisukocowegoZnak"/>
    <w:uiPriority w:val="99"/>
    <w:semiHidden/>
    <w:unhideWhenUsed/>
    <w:rsid w:val="004E5E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5EC3"/>
    <w:rPr>
      <w:sz w:val="20"/>
      <w:szCs w:val="20"/>
    </w:rPr>
  </w:style>
  <w:style w:type="character" w:styleId="Odwoanieprzypisukocowego">
    <w:name w:val="endnote reference"/>
    <w:basedOn w:val="Domylnaczcionkaakapitu"/>
    <w:uiPriority w:val="99"/>
    <w:semiHidden/>
    <w:unhideWhenUsed/>
    <w:rsid w:val="004E5EC3"/>
    <w:rPr>
      <w:vertAlign w:val="superscript"/>
    </w:rPr>
  </w:style>
  <w:style w:type="character" w:customStyle="1" w:styleId="Bodytext2">
    <w:name w:val="Body text (2)_"/>
    <w:basedOn w:val="Domylnaczcionkaakapitu"/>
    <w:link w:val="Bodytext20"/>
    <w:rsid w:val="00CB6480"/>
    <w:rPr>
      <w:rFonts w:ascii="Book Antiqua" w:eastAsia="Book Antiqua" w:hAnsi="Book Antiqua" w:cs="Book Antiqua"/>
      <w:shd w:val="clear" w:color="auto" w:fill="FFFFFF"/>
    </w:rPr>
  </w:style>
  <w:style w:type="paragraph" w:customStyle="1" w:styleId="Bodytext20">
    <w:name w:val="Body text (2)"/>
    <w:basedOn w:val="Normalny"/>
    <w:link w:val="Bodytext2"/>
    <w:rsid w:val="00CB6480"/>
    <w:pPr>
      <w:widowControl w:val="0"/>
      <w:shd w:val="clear" w:color="auto" w:fill="FFFFFF"/>
      <w:spacing w:before="300" w:after="300" w:line="341" w:lineRule="exact"/>
      <w:ind w:hanging="460"/>
      <w:jc w:val="both"/>
    </w:pPr>
    <w:rPr>
      <w:rFonts w:ascii="Book Antiqua" w:eastAsia="Book Antiqua" w:hAnsi="Book Antiqua" w:cs="Book Antiqua"/>
    </w:rPr>
  </w:style>
  <w:style w:type="character" w:customStyle="1" w:styleId="bold">
    <w:name w:val="bold"/>
    <w:basedOn w:val="Domylnaczcionkaakapitu"/>
    <w:rsid w:val="002B1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1099">
      <w:bodyDiv w:val="1"/>
      <w:marLeft w:val="0"/>
      <w:marRight w:val="0"/>
      <w:marTop w:val="0"/>
      <w:marBottom w:val="0"/>
      <w:divBdr>
        <w:top w:val="none" w:sz="0" w:space="0" w:color="auto"/>
        <w:left w:val="none" w:sz="0" w:space="0" w:color="auto"/>
        <w:bottom w:val="none" w:sz="0" w:space="0" w:color="auto"/>
        <w:right w:val="none" w:sz="0" w:space="0" w:color="auto"/>
      </w:divBdr>
    </w:div>
    <w:div w:id="546570353">
      <w:bodyDiv w:val="1"/>
      <w:marLeft w:val="0"/>
      <w:marRight w:val="0"/>
      <w:marTop w:val="0"/>
      <w:marBottom w:val="0"/>
      <w:divBdr>
        <w:top w:val="none" w:sz="0" w:space="0" w:color="auto"/>
        <w:left w:val="none" w:sz="0" w:space="0" w:color="auto"/>
        <w:bottom w:val="none" w:sz="0" w:space="0" w:color="auto"/>
        <w:right w:val="none" w:sz="0" w:space="0" w:color="auto"/>
      </w:divBdr>
      <w:divsChild>
        <w:div w:id="540751633">
          <w:marLeft w:val="0"/>
          <w:marRight w:val="0"/>
          <w:marTop w:val="0"/>
          <w:marBottom w:val="0"/>
          <w:divBdr>
            <w:top w:val="none" w:sz="0" w:space="0" w:color="auto"/>
            <w:left w:val="none" w:sz="0" w:space="0" w:color="auto"/>
            <w:bottom w:val="none" w:sz="0" w:space="0" w:color="auto"/>
            <w:right w:val="none" w:sz="0" w:space="0" w:color="auto"/>
          </w:divBdr>
          <w:divsChild>
            <w:div w:id="2035617830">
              <w:marLeft w:val="0"/>
              <w:marRight w:val="0"/>
              <w:marTop w:val="0"/>
              <w:marBottom w:val="0"/>
              <w:divBdr>
                <w:top w:val="none" w:sz="0" w:space="0" w:color="auto"/>
                <w:left w:val="none" w:sz="0" w:space="0" w:color="auto"/>
                <w:bottom w:val="none" w:sz="0" w:space="0" w:color="auto"/>
                <w:right w:val="none" w:sz="0" w:space="0" w:color="auto"/>
              </w:divBdr>
              <w:divsChild>
                <w:div w:id="567804097">
                  <w:marLeft w:val="0"/>
                  <w:marRight w:val="0"/>
                  <w:marTop w:val="0"/>
                  <w:marBottom w:val="0"/>
                  <w:divBdr>
                    <w:top w:val="none" w:sz="0" w:space="0" w:color="auto"/>
                    <w:left w:val="none" w:sz="0" w:space="0" w:color="auto"/>
                    <w:bottom w:val="none" w:sz="0" w:space="0" w:color="auto"/>
                    <w:right w:val="none" w:sz="0" w:space="0" w:color="auto"/>
                  </w:divBdr>
                  <w:divsChild>
                    <w:div w:id="1758667616">
                      <w:marLeft w:val="0"/>
                      <w:marRight w:val="0"/>
                      <w:marTop w:val="0"/>
                      <w:marBottom w:val="0"/>
                      <w:divBdr>
                        <w:top w:val="none" w:sz="0" w:space="0" w:color="auto"/>
                        <w:left w:val="none" w:sz="0" w:space="0" w:color="auto"/>
                        <w:bottom w:val="none" w:sz="0" w:space="0" w:color="auto"/>
                        <w:right w:val="none" w:sz="0" w:space="0" w:color="auto"/>
                      </w:divBdr>
                      <w:divsChild>
                        <w:div w:id="1762792726">
                          <w:marLeft w:val="0"/>
                          <w:marRight w:val="0"/>
                          <w:marTop w:val="0"/>
                          <w:marBottom w:val="0"/>
                          <w:divBdr>
                            <w:top w:val="none" w:sz="0" w:space="0" w:color="auto"/>
                            <w:left w:val="none" w:sz="0" w:space="0" w:color="auto"/>
                            <w:bottom w:val="none" w:sz="0" w:space="0" w:color="auto"/>
                            <w:right w:val="none" w:sz="0" w:space="0" w:color="auto"/>
                          </w:divBdr>
                          <w:divsChild>
                            <w:div w:id="15648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825377">
      <w:bodyDiv w:val="1"/>
      <w:marLeft w:val="0"/>
      <w:marRight w:val="0"/>
      <w:marTop w:val="0"/>
      <w:marBottom w:val="0"/>
      <w:divBdr>
        <w:top w:val="none" w:sz="0" w:space="0" w:color="auto"/>
        <w:left w:val="none" w:sz="0" w:space="0" w:color="auto"/>
        <w:bottom w:val="none" w:sz="0" w:space="0" w:color="auto"/>
        <w:right w:val="none" w:sz="0" w:space="0" w:color="auto"/>
      </w:divBdr>
    </w:div>
    <w:div w:id="642466704">
      <w:bodyDiv w:val="1"/>
      <w:marLeft w:val="0"/>
      <w:marRight w:val="0"/>
      <w:marTop w:val="0"/>
      <w:marBottom w:val="0"/>
      <w:divBdr>
        <w:top w:val="none" w:sz="0" w:space="0" w:color="auto"/>
        <w:left w:val="none" w:sz="0" w:space="0" w:color="auto"/>
        <w:bottom w:val="none" w:sz="0" w:space="0" w:color="auto"/>
        <w:right w:val="none" w:sz="0" w:space="0" w:color="auto"/>
      </w:divBdr>
    </w:div>
    <w:div w:id="810639577">
      <w:bodyDiv w:val="1"/>
      <w:marLeft w:val="0"/>
      <w:marRight w:val="0"/>
      <w:marTop w:val="0"/>
      <w:marBottom w:val="0"/>
      <w:divBdr>
        <w:top w:val="none" w:sz="0" w:space="0" w:color="auto"/>
        <w:left w:val="none" w:sz="0" w:space="0" w:color="auto"/>
        <w:bottom w:val="none" w:sz="0" w:space="0" w:color="auto"/>
        <w:right w:val="none" w:sz="0" w:space="0" w:color="auto"/>
      </w:divBdr>
    </w:div>
    <w:div w:id="842282301">
      <w:bodyDiv w:val="1"/>
      <w:marLeft w:val="0"/>
      <w:marRight w:val="0"/>
      <w:marTop w:val="0"/>
      <w:marBottom w:val="0"/>
      <w:divBdr>
        <w:top w:val="none" w:sz="0" w:space="0" w:color="auto"/>
        <w:left w:val="none" w:sz="0" w:space="0" w:color="auto"/>
        <w:bottom w:val="none" w:sz="0" w:space="0" w:color="auto"/>
        <w:right w:val="none" w:sz="0" w:space="0" w:color="auto"/>
      </w:divBdr>
    </w:div>
    <w:div w:id="955714380">
      <w:bodyDiv w:val="1"/>
      <w:marLeft w:val="0"/>
      <w:marRight w:val="0"/>
      <w:marTop w:val="0"/>
      <w:marBottom w:val="0"/>
      <w:divBdr>
        <w:top w:val="none" w:sz="0" w:space="0" w:color="auto"/>
        <w:left w:val="none" w:sz="0" w:space="0" w:color="auto"/>
        <w:bottom w:val="none" w:sz="0" w:space="0" w:color="auto"/>
        <w:right w:val="none" w:sz="0" w:space="0" w:color="auto"/>
      </w:divBdr>
    </w:div>
    <w:div w:id="996298773">
      <w:bodyDiv w:val="1"/>
      <w:marLeft w:val="0"/>
      <w:marRight w:val="0"/>
      <w:marTop w:val="0"/>
      <w:marBottom w:val="0"/>
      <w:divBdr>
        <w:top w:val="none" w:sz="0" w:space="0" w:color="auto"/>
        <w:left w:val="none" w:sz="0" w:space="0" w:color="auto"/>
        <w:bottom w:val="none" w:sz="0" w:space="0" w:color="auto"/>
        <w:right w:val="none" w:sz="0" w:space="0" w:color="auto"/>
      </w:divBdr>
    </w:div>
    <w:div w:id="1238200468">
      <w:bodyDiv w:val="1"/>
      <w:marLeft w:val="0"/>
      <w:marRight w:val="0"/>
      <w:marTop w:val="0"/>
      <w:marBottom w:val="0"/>
      <w:divBdr>
        <w:top w:val="none" w:sz="0" w:space="0" w:color="auto"/>
        <w:left w:val="none" w:sz="0" w:space="0" w:color="auto"/>
        <w:bottom w:val="none" w:sz="0" w:space="0" w:color="auto"/>
        <w:right w:val="none" w:sz="0" w:space="0" w:color="auto"/>
      </w:divBdr>
    </w:div>
    <w:div w:id="1886017058">
      <w:bodyDiv w:val="1"/>
      <w:marLeft w:val="0"/>
      <w:marRight w:val="0"/>
      <w:marTop w:val="0"/>
      <w:marBottom w:val="0"/>
      <w:divBdr>
        <w:top w:val="none" w:sz="0" w:space="0" w:color="auto"/>
        <w:left w:val="none" w:sz="0" w:space="0" w:color="auto"/>
        <w:bottom w:val="none" w:sz="0" w:space="0" w:color="auto"/>
        <w:right w:val="none" w:sz="0" w:space="0" w:color="auto"/>
      </w:divBdr>
    </w:div>
    <w:div w:id="205792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294</Words>
  <Characters>1677</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Zdeb</dc:creator>
  <cp:keywords/>
  <dc:description/>
  <cp:lastModifiedBy>magdalena.jakubowska@reinopartners.com</cp:lastModifiedBy>
  <cp:revision>12</cp:revision>
  <dcterms:created xsi:type="dcterms:W3CDTF">2021-06-21T08:35:00Z</dcterms:created>
  <dcterms:modified xsi:type="dcterms:W3CDTF">2021-06-29T12:58:00Z</dcterms:modified>
</cp:coreProperties>
</file>