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F1B8" w14:textId="451FC83C" w:rsidR="004052F1" w:rsidRDefault="004052F1" w:rsidP="00220F30">
      <w:pPr>
        <w:spacing w:after="120"/>
        <w:jc w:val="both"/>
        <w:rPr>
          <w:rFonts w:ascii="Arial" w:hAnsi="Arial" w:cs="Arial"/>
          <w:b/>
        </w:rPr>
      </w:pPr>
      <w:r w:rsidRPr="004052F1">
        <w:rPr>
          <w:rFonts w:ascii="Arial" w:hAnsi="Arial" w:cs="Arial"/>
          <w:b/>
        </w:rPr>
        <w:t xml:space="preserve">Raport bieżący nr </w:t>
      </w:r>
      <w:r w:rsidR="000375CC">
        <w:rPr>
          <w:rFonts w:ascii="Arial" w:hAnsi="Arial" w:cs="Arial"/>
          <w:b/>
        </w:rPr>
        <w:t>9</w:t>
      </w:r>
      <w:r w:rsidRPr="004052F1">
        <w:rPr>
          <w:rFonts w:ascii="Arial" w:hAnsi="Arial" w:cs="Arial"/>
          <w:b/>
        </w:rPr>
        <w:t>/201</w:t>
      </w:r>
      <w:r w:rsidR="006A7959">
        <w:rPr>
          <w:rFonts w:ascii="Arial" w:hAnsi="Arial" w:cs="Arial"/>
          <w:b/>
        </w:rPr>
        <w:t>6</w:t>
      </w:r>
      <w:r w:rsidRPr="004052F1">
        <w:rPr>
          <w:rFonts w:ascii="Arial" w:hAnsi="Arial" w:cs="Arial"/>
          <w:b/>
        </w:rPr>
        <w:t xml:space="preserve"> z dnia</w:t>
      </w:r>
      <w:r w:rsidR="000375CC">
        <w:rPr>
          <w:rFonts w:ascii="Arial" w:hAnsi="Arial" w:cs="Arial"/>
          <w:b/>
        </w:rPr>
        <w:t xml:space="preserve"> 22 kwietnia</w:t>
      </w:r>
      <w:r w:rsidRPr="004052F1">
        <w:rPr>
          <w:rFonts w:ascii="Arial" w:hAnsi="Arial" w:cs="Arial"/>
          <w:b/>
        </w:rPr>
        <w:t xml:space="preserve"> 201</w:t>
      </w:r>
      <w:r w:rsidR="006A7959">
        <w:rPr>
          <w:rFonts w:ascii="Arial" w:hAnsi="Arial" w:cs="Arial"/>
          <w:b/>
        </w:rPr>
        <w:t>6</w:t>
      </w:r>
    </w:p>
    <w:p w14:paraId="55F40A21" w14:textId="77777777" w:rsidR="004052F1" w:rsidRDefault="004052F1" w:rsidP="00220F30">
      <w:pPr>
        <w:spacing w:after="120"/>
        <w:jc w:val="both"/>
        <w:rPr>
          <w:rFonts w:ascii="Arial" w:hAnsi="Arial" w:cs="Arial"/>
          <w:b/>
        </w:rPr>
      </w:pPr>
    </w:p>
    <w:p w14:paraId="42188235" w14:textId="420657CA" w:rsidR="00220F30" w:rsidRPr="009619C4" w:rsidRDefault="00220F30" w:rsidP="00220F30">
      <w:pPr>
        <w:spacing w:after="120"/>
        <w:jc w:val="both"/>
        <w:rPr>
          <w:rFonts w:ascii="Arial" w:hAnsi="Arial" w:cs="Arial"/>
        </w:rPr>
      </w:pPr>
      <w:r w:rsidRPr="00AF309D">
        <w:rPr>
          <w:rFonts w:ascii="Arial" w:hAnsi="Arial" w:cs="Arial"/>
          <w:b/>
        </w:rPr>
        <w:t>Data sporządzenia:</w:t>
      </w:r>
      <w:r w:rsidR="00583E82">
        <w:rPr>
          <w:rFonts w:ascii="Arial" w:hAnsi="Arial" w:cs="Arial"/>
          <w:b/>
        </w:rPr>
        <w:t xml:space="preserve"> </w:t>
      </w:r>
      <w:r w:rsidR="000375CC" w:rsidRPr="000375CC">
        <w:rPr>
          <w:rFonts w:ascii="Arial" w:hAnsi="Arial" w:cs="Arial"/>
        </w:rPr>
        <w:t>2016-04-22</w:t>
      </w:r>
      <w:r w:rsidR="000375CC" w:rsidRPr="000375CC">
        <w:rPr>
          <w:rFonts w:ascii="Arial" w:hAnsi="Arial" w:cs="Arial"/>
        </w:rPr>
        <w:tab/>
      </w:r>
      <w:r w:rsidR="00084E08" w:rsidRPr="00084E08">
        <w:rPr>
          <w:rFonts w:ascii="Arial" w:hAnsi="Arial" w:cs="Arial"/>
        </w:rPr>
        <w:tab/>
      </w:r>
    </w:p>
    <w:p w14:paraId="68052676" w14:textId="78013A64" w:rsidR="008048A0" w:rsidRPr="00DD3865" w:rsidRDefault="00220F30" w:rsidP="00DD3865">
      <w:pPr>
        <w:jc w:val="both"/>
        <w:rPr>
          <w:rFonts w:ascii="Arial" w:hAnsi="Arial" w:cs="Arial"/>
        </w:rPr>
      </w:pPr>
      <w:r w:rsidRPr="00AF309D">
        <w:rPr>
          <w:rFonts w:ascii="Arial" w:hAnsi="Arial" w:cs="Arial"/>
          <w:b/>
        </w:rPr>
        <w:t>Temat:</w:t>
      </w:r>
      <w:r w:rsidRPr="009619C4">
        <w:rPr>
          <w:rFonts w:ascii="Arial" w:hAnsi="Arial" w:cs="Arial"/>
        </w:rPr>
        <w:t xml:space="preserve"> </w:t>
      </w:r>
      <w:r w:rsidR="000375CC" w:rsidRPr="000375CC">
        <w:rPr>
          <w:rFonts w:ascii="Arial" w:hAnsi="Arial" w:cs="Arial"/>
        </w:rPr>
        <w:t>Program naprawczy związany z zakwalifikowaniem akcji Emitenta do segmentu Lista Alertów po raz drugi z rzędu</w:t>
      </w:r>
      <w:r w:rsidR="000375CC" w:rsidRPr="000375CC">
        <w:rPr>
          <w:rFonts w:ascii="Arial" w:hAnsi="Arial" w:cs="Arial"/>
        </w:rPr>
        <w:tab/>
      </w:r>
      <w:r w:rsidR="00084E08" w:rsidRPr="00084E08">
        <w:rPr>
          <w:rFonts w:ascii="Arial" w:hAnsi="Arial" w:cs="Arial"/>
        </w:rPr>
        <w:tab/>
      </w:r>
      <w:r w:rsidR="00725C0D" w:rsidRPr="00725C0D">
        <w:rPr>
          <w:rFonts w:ascii="Arial" w:hAnsi="Arial" w:cs="Arial"/>
        </w:rPr>
        <w:tab/>
      </w:r>
    </w:p>
    <w:p w14:paraId="5DF3A9A4" w14:textId="0B2E56AB" w:rsidR="00735987" w:rsidRPr="00735987" w:rsidRDefault="00735987" w:rsidP="00735987">
      <w:pPr>
        <w:spacing w:line="320" w:lineRule="exact"/>
        <w:jc w:val="both"/>
        <w:rPr>
          <w:rStyle w:val="a11"/>
          <w:rFonts w:ascii="Arial" w:hAnsi="Arial" w:cs="Arial"/>
          <w:b/>
          <w:sz w:val="22"/>
          <w:szCs w:val="22"/>
        </w:rPr>
      </w:pPr>
      <w:r w:rsidRPr="001F7D89">
        <w:rPr>
          <w:rFonts w:ascii="Arial" w:hAnsi="Arial" w:cs="Arial"/>
          <w:b/>
        </w:rPr>
        <w:t xml:space="preserve">Podstawa prawna: </w:t>
      </w:r>
      <w:r>
        <w:rPr>
          <w:rFonts w:ascii="Arial" w:hAnsi="Arial" w:cs="Arial"/>
          <w:b/>
        </w:rPr>
        <w:t xml:space="preserve"> </w:t>
      </w:r>
      <w:r w:rsidR="000375CC" w:rsidRPr="000375CC">
        <w:rPr>
          <w:rFonts w:ascii="Arial" w:hAnsi="Arial" w:cs="Arial"/>
        </w:rPr>
        <w:t>Inne uregulowania</w:t>
      </w:r>
      <w:r w:rsidR="000375CC" w:rsidRPr="000375CC">
        <w:rPr>
          <w:rFonts w:ascii="Arial" w:hAnsi="Arial" w:cs="Arial"/>
        </w:rPr>
        <w:tab/>
      </w:r>
    </w:p>
    <w:p w14:paraId="460D6E88" w14:textId="77777777" w:rsidR="000375CC" w:rsidRPr="000375CC" w:rsidRDefault="00220F30" w:rsidP="000375CC">
      <w:pPr>
        <w:jc w:val="both"/>
        <w:rPr>
          <w:rFonts w:ascii="Arial" w:hAnsi="Arial" w:cs="Arial"/>
        </w:rPr>
      </w:pPr>
      <w:r w:rsidRPr="00AF309D">
        <w:rPr>
          <w:rStyle w:val="a11"/>
          <w:rFonts w:ascii="Arial" w:hAnsi="Arial" w:cs="Arial"/>
          <w:b/>
          <w:iCs/>
          <w:sz w:val="22"/>
          <w:szCs w:val="22"/>
        </w:rPr>
        <w:t xml:space="preserve">Treść raportu: </w:t>
      </w:r>
      <w:r w:rsidR="000375CC" w:rsidRPr="000375CC">
        <w:rPr>
          <w:rFonts w:ascii="Arial" w:hAnsi="Arial" w:cs="Arial"/>
        </w:rPr>
        <w:t xml:space="preserve">Zarząd spółki </w:t>
      </w:r>
      <w:proofErr w:type="spellStart"/>
      <w:r w:rsidR="000375CC" w:rsidRPr="000375CC">
        <w:rPr>
          <w:rFonts w:ascii="Arial" w:hAnsi="Arial" w:cs="Arial"/>
        </w:rPr>
        <w:t>Graviton</w:t>
      </w:r>
      <w:proofErr w:type="spellEnd"/>
      <w:r w:rsidR="000375CC" w:rsidRPr="000375CC">
        <w:rPr>
          <w:rFonts w:ascii="Arial" w:hAnsi="Arial" w:cs="Arial"/>
        </w:rPr>
        <w:t xml:space="preserve"> Capital S.A. z siedzibą we Wrocławiu _dalej "Emitent", "Spółka"_, w związku z zakwalifikowaniem przez Giełdę Papierów Wartościowych w Warszawie S.A. _dalej: "GPW"_ po raz drugi z rzędu akcji Emitenta do segmentu rynku regulowanego Lista Alertów, w nawiązaniu do raportu bieżącego nr 32/2015 z dnia 7 stycznia 2016 r. informującego o wprowadzeniu planu naprawczego mającego na celu usunięcie przyczyn kwalifikujących Spółkę do tego segmentu, informuje o podjętych działaniach.</w:t>
      </w:r>
    </w:p>
    <w:p w14:paraId="0C5623FD" w14:textId="77777777" w:rsidR="000375CC" w:rsidRPr="000375CC" w:rsidRDefault="000375CC" w:rsidP="000375CC">
      <w:pPr>
        <w:jc w:val="both"/>
        <w:rPr>
          <w:rFonts w:ascii="Arial" w:hAnsi="Arial" w:cs="Arial"/>
        </w:rPr>
      </w:pPr>
    </w:p>
    <w:p w14:paraId="5FAF4673" w14:textId="77777777" w:rsidR="000375CC" w:rsidRPr="000375CC" w:rsidRDefault="000375CC" w:rsidP="000375CC">
      <w:pPr>
        <w:jc w:val="both"/>
        <w:rPr>
          <w:rFonts w:ascii="Arial" w:hAnsi="Arial" w:cs="Arial"/>
        </w:rPr>
      </w:pPr>
      <w:r w:rsidRPr="000375CC">
        <w:rPr>
          <w:rFonts w:ascii="Arial" w:hAnsi="Arial" w:cs="Arial"/>
        </w:rPr>
        <w:t>Nadzwyczajne Walne Zgromadzenie Spółki w dniu 8 lutego 2016 r. podjęło uchwałę w sprawie połączenia akcji Emitenta. Zmiany statutu Spółki zarejestrowane zostały przez Sąd Rejonowy dla Wrocławia – Fabrycznej we Wrocławiu VI Wydział Gospodarczy KRS dnia 16 marca 2016 r. W dniu 4 kwietnia 2016 r. złożony został do GPW wniosek o zawieszenie notowań akcji Spółki w okresie od dnia 15 kwietnia 2016 r. do dnia 27 kwietnia 2016 r. Jednocześnie Emitent złożył wniosek o dokonanie scalenia w Krajowym Depozycie Papierów Wartościowych S.A. _dalej: "KDPW"_.</w:t>
      </w:r>
    </w:p>
    <w:p w14:paraId="622E83B1" w14:textId="77777777" w:rsidR="000375CC" w:rsidRPr="000375CC" w:rsidRDefault="000375CC" w:rsidP="000375CC">
      <w:pPr>
        <w:jc w:val="both"/>
        <w:rPr>
          <w:rFonts w:ascii="Arial" w:hAnsi="Arial" w:cs="Arial"/>
        </w:rPr>
      </w:pPr>
    </w:p>
    <w:p w14:paraId="2D7EF5F1" w14:textId="77777777" w:rsidR="000375CC" w:rsidRPr="000375CC" w:rsidRDefault="000375CC" w:rsidP="000375CC">
      <w:pPr>
        <w:jc w:val="both"/>
        <w:rPr>
          <w:rFonts w:ascii="Arial" w:hAnsi="Arial" w:cs="Arial"/>
        </w:rPr>
      </w:pPr>
      <w:r w:rsidRPr="000375CC">
        <w:rPr>
          <w:rFonts w:ascii="Arial" w:hAnsi="Arial" w:cs="Arial"/>
        </w:rPr>
        <w:t xml:space="preserve">Zgodnie z uchwałą nr 337/2016 Zarządu GPW z dnia 8 kwietnia 2016 r. notowania akcji Spółki zostały zawieszone zgodnie z wnioskiem Emitenta. W przypadku spełnienia przez Spółkę warunku, o którym mowa w § 3a Uchwały Nr 1387/2013 Zarządu Giełdy z dnia 2 grudnia 2013 r. _z </w:t>
      </w:r>
      <w:proofErr w:type="spellStart"/>
      <w:r w:rsidRPr="000375CC">
        <w:rPr>
          <w:rFonts w:ascii="Arial" w:hAnsi="Arial" w:cs="Arial"/>
        </w:rPr>
        <w:t>późn</w:t>
      </w:r>
      <w:proofErr w:type="spellEnd"/>
      <w:r w:rsidRPr="000375CC">
        <w:rPr>
          <w:rFonts w:ascii="Arial" w:hAnsi="Arial" w:cs="Arial"/>
        </w:rPr>
        <w:t>. zm._ w sprawie wyodrębnienia segmentu rynku regulowanego LISTA ALERTÓW _…_, akcje Spółki, oznaczone kodem "PLWDM0000029", począwszy od dnia 28 kwietnia 2016 r., to jest po upływie okresu zawieszenia, notowane będą w systemie notowań ciągłych.</w:t>
      </w:r>
    </w:p>
    <w:p w14:paraId="7AADF3D1" w14:textId="77777777" w:rsidR="000375CC" w:rsidRPr="000375CC" w:rsidRDefault="000375CC" w:rsidP="000375CC">
      <w:pPr>
        <w:jc w:val="both"/>
        <w:rPr>
          <w:rFonts w:ascii="Arial" w:hAnsi="Arial" w:cs="Arial"/>
        </w:rPr>
      </w:pPr>
    </w:p>
    <w:p w14:paraId="7E6F8DE3" w14:textId="77777777" w:rsidR="000375CC" w:rsidRPr="000375CC" w:rsidRDefault="000375CC" w:rsidP="000375CC">
      <w:pPr>
        <w:jc w:val="both"/>
        <w:rPr>
          <w:rFonts w:ascii="Arial" w:hAnsi="Arial" w:cs="Arial"/>
        </w:rPr>
      </w:pPr>
      <w:r w:rsidRPr="000375CC">
        <w:rPr>
          <w:rFonts w:ascii="Arial" w:hAnsi="Arial" w:cs="Arial"/>
        </w:rPr>
        <w:t>Uchwałą nr 241/16 z dnia 15 kwietnia 2016 r. Zarząd KDPW określił, w związku ze zmianą wartości nominalnej akcji Spółki z 0,08 zł na 0,80 zł, dzień 27 kwietnia 2016 r. jako dzień wymiany 20.625.000 akcji Emitenta oznaczonych kodem PLWDM0000029 na 2.062.500 akcji Spółki o wartości nominalnej 0,80 zł każda. Jednocześnie stwierdzono, że Dniem Referencyjnym jest dzień 20 kwietnia 2016 r. Zarząd KDPW stwierdził, że po przeprowadzeniu operacji scalenia akcji, kodem PLWDM0000029 oznaczonych będzie 2.062.500 akcji Spółki o wartości nominalnej 0,80 zł każda. Dzień scalenia akcji Emitenta przypada na dzień 27 kwietnia 2016 r.</w:t>
      </w:r>
    </w:p>
    <w:p w14:paraId="18A32C23" w14:textId="77777777" w:rsidR="000375CC" w:rsidRPr="000375CC" w:rsidRDefault="000375CC" w:rsidP="000375CC">
      <w:pPr>
        <w:jc w:val="both"/>
        <w:rPr>
          <w:rFonts w:ascii="Arial" w:hAnsi="Arial" w:cs="Arial"/>
        </w:rPr>
      </w:pPr>
    </w:p>
    <w:p w14:paraId="1C012263" w14:textId="77777777" w:rsidR="000375CC" w:rsidRDefault="000375CC" w:rsidP="000375CC">
      <w:pPr>
        <w:jc w:val="both"/>
        <w:rPr>
          <w:rFonts w:ascii="Arial" w:hAnsi="Arial" w:cs="Arial"/>
        </w:rPr>
      </w:pPr>
      <w:r w:rsidRPr="000375CC">
        <w:rPr>
          <w:rFonts w:ascii="Arial" w:hAnsi="Arial" w:cs="Arial"/>
        </w:rPr>
        <w:t xml:space="preserve">Podstawa prawna: § 3 ust. 2 Uchwały Nr 1387/2013 Zarządu Giełdy z dnia 2 grudnia 2013 r. _z </w:t>
      </w:r>
      <w:proofErr w:type="spellStart"/>
      <w:r w:rsidRPr="000375CC">
        <w:rPr>
          <w:rFonts w:ascii="Arial" w:hAnsi="Arial" w:cs="Arial"/>
        </w:rPr>
        <w:t>późn</w:t>
      </w:r>
      <w:proofErr w:type="spellEnd"/>
      <w:r w:rsidRPr="000375CC">
        <w:rPr>
          <w:rFonts w:ascii="Arial" w:hAnsi="Arial" w:cs="Arial"/>
        </w:rPr>
        <w:t>. zm._ w sprawie wyodrębnienia segmentu rynku regulowanego LISTA ALERTÓW oraz zasad i procedury kwalifikacji do tego segmentu</w:t>
      </w:r>
    </w:p>
    <w:p w14:paraId="01215C5B" w14:textId="3FC24C97" w:rsidR="00993ECA" w:rsidRPr="00A07084" w:rsidRDefault="00993ECA" w:rsidP="000375CC">
      <w:pPr>
        <w:jc w:val="both"/>
        <w:rPr>
          <w:rFonts w:ascii="Arial" w:hAnsi="Arial" w:cs="Arial"/>
          <w:b/>
          <w:bCs/>
        </w:rPr>
      </w:pPr>
      <w:r w:rsidRPr="00A07084">
        <w:rPr>
          <w:rFonts w:ascii="Arial" w:hAnsi="Arial" w:cs="Arial"/>
          <w:b/>
          <w:bCs/>
        </w:rPr>
        <w:t>Podpis:</w:t>
      </w:r>
    </w:p>
    <w:p w14:paraId="191C2B26" w14:textId="577CB17C" w:rsidR="00725C0D" w:rsidRDefault="00084E08" w:rsidP="00725C0D">
      <w:pPr>
        <w:jc w:val="both"/>
        <w:rPr>
          <w:rFonts w:ascii="Arial" w:hAnsi="Arial" w:cs="Arial"/>
          <w:bCs/>
        </w:rPr>
      </w:pPr>
      <w:r w:rsidRPr="00084E08">
        <w:rPr>
          <w:rFonts w:ascii="Arial" w:hAnsi="Arial" w:cs="Arial"/>
          <w:bCs/>
        </w:rPr>
        <w:t xml:space="preserve">Adrian </w:t>
      </w:r>
      <w:proofErr w:type="spellStart"/>
      <w:r w:rsidRPr="00084E08">
        <w:rPr>
          <w:rFonts w:ascii="Arial" w:hAnsi="Arial" w:cs="Arial"/>
          <w:bCs/>
        </w:rPr>
        <w:t>Dzielnicki</w:t>
      </w:r>
      <w:proofErr w:type="spellEnd"/>
      <w:r>
        <w:rPr>
          <w:rFonts w:ascii="Arial" w:hAnsi="Arial" w:cs="Arial"/>
          <w:bCs/>
        </w:rPr>
        <w:t xml:space="preserve"> </w:t>
      </w:r>
      <w:r w:rsidR="00725C0D">
        <w:rPr>
          <w:rFonts w:ascii="Arial" w:hAnsi="Arial" w:cs="Arial"/>
          <w:bCs/>
        </w:rPr>
        <w:t>– Prezes Zarządu</w:t>
      </w:r>
      <w:r w:rsidR="00725C0D">
        <w:rPr>
          <w:rFonts w:ascii="Arial" w:hAnsi="Arial" w:cs="Arial"/>
          <w:bCs/>
        </w:rPr>
        <w:tab/>
      </w:r>
    </w:p>
    <w:p w14:paraId="71153C26" w14:textId="77777777" w:rsidR="000D777E" w:rsidRDefault="000D777E" w:rsidP="00514AB8">
      <w:pPr>
        <w:jc w:val="both"/>
        <w:rPr>
          <w:rFonts w:ascii="Arial" w:hAnsi="Arial" w:cs="Arial"/>
        </w:rPr>
      </w:pPr>
    </w:p>
    <w:p w14:paraId="6CC0F4AB" w14:textId="16996128" w:rsidR="004C2DB5" w:rsidRDefault="004C2DB5" w:rsidP="00514AB8">
      <w:pPr>
        <w:jc w:val="both"/>
        <w:rPr>
          <w:rFonts w:ascii="Arial" w:hAnsi="Arial" w:cs="Arial"/>
          <w:bCs/>
        </w:rPr>
      </w:pPr>
    </w:p>
    <w:sectPr w:rsidR="004C2D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F4A5" w14:textId="77777777" w:rsidR="009B70C9" w:rsidRDefault="009B70C9" w:rsidP="004E5EC3">
      <w:pPr>
        <w:spacing w:after="0" w:line="240" w:lineRule="auto"/>
      </w:pPr>
      <w:r>
        <w:separator/>
      </w:r>
    </w:p>
  </w:endnote>
  <w:endnote w:type="continuationSeparator" w:id="0">
    <w:p w14:paraId="69B541E9" w14:textId="77777777" w:rsidR="009B70C9" w:rsidRDefault="009B70C9" w:rsidP="004E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2F62" w14:textId="77777777" w:rsidR="009B70C9" w:rsidRDefault="009B70C9" w:rsidP="004E5EC3">
      <w:pPr>
        <w:spacing w:after="0" w:line="240" w:lineRule="auto"/>
      </w:pPr>
      <w:r>
        <w:separator/>
      </w:r>
    </w:p>
  </w:footnote>
  <w:footnote w:type="continuationSeparator" w:id="0">
    <w:p w14:paraId="764E53C7" w14:textId="77777777" w:rsidR="009B70C9" w:rsidRDefault="009B70C9" w:rsidP="004E5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6D9"/>
    <w:multiLevelType w:val="hybridMultilevel"/>
    <w:tmpl w:val="646E4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A53916"/>
    <w:multiLevelType w:val="hybridMultilevel"/>
    <w:tmpl w:val="BCDA9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057F53"/>
    <w:multiLevelType w:val="multilevel"/>
    <w:tmpl w:val="C214F21A"/>
    <w:lvl w:ilvl="0">
      <w:start w:val="1"/>
      <w:numFmt w:val="decimal"/>
      <w:lvlText w:val="%1."/>
      <w:lvlJc w:val="left"/>
      <w:pPr>
        <w:ind w:left="360" w:hanging="360"/>
      </w:pPr>
      <w:rPr>
        <w:b/>
      </w:rPr>
    </w:lvl>
    <w:lvl w:ilvl="1">
      <w:start w:val="1"/>
      <w:numFmt w:val="decimal"/>
      <w:lvlText w:val="%1.%2."/>
      <w:lvlJc w:val="left"/>
      <w:pPr>
        <w:ind w:left="792" w:hanging="432"/>
      </w:pPr>
      <w:rPr>
        <w:b w:val="0"/>
        <w:sz w:val="22"/>
      </w:rPr>
    </w:lvl>
    <w:lvl w:ilvl="2">
      <w:start w:val="1"/>
      <w:numFmt w:val="decimal"/>
      <w:lvlText w:val="%1.%2.%3."/>
      <w:lvlJc w:val="left"/>
      <w:pPr>
        <w:ind w:left="362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E03593"/>
    <w:multiLevelType w:val="hybridMultilevel"/>
    <w:tmpl w:val="CD364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B04D78"/>
    <w:multiLevelType w:val="hybridMultilevel"/>
    <w:tmpl w:val="1C425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48"/>
    <w:rsid w:val="000166E0"/>
    <w:rsid w:val="000375CC"/>
    <w:rsid w:val="0007044E"/>
    <w:rsid w:val="00073591"/>
    <w:rsid w:val="000830B3"/>
    <w:rsid w:val="00084E08"/>
    <w:rsid w:val="000D4B44"/>
    <w:rsid w:val="000D777E"/>
    <w:rsid w:val="0012762C"/>
    <w:rsid w:val="001C1D4D"/>
    <w:rsid w:val="001C3D05"/>
    <w:rsid w:val="001C51A1"/>
    <w:rsid w:val="001E10FA"/>
    <w:rsid w:val="001E57F1"/>
    <w:rsid w:val="002155B1"/>
    <w:rsid w:val="00220F30"/>
    <w:rsid w:val="00223DA3"/>
    <w:rsid w:val="00230BBE"/>
    <w:rsid w:val="002509B1"/>
    <w:rsid w:val="0027355F"/>
    <w:rsid w:val="002B1110"/>
    <w:rsid w:val="003122D1"/>
    <w:rsid w:val="0032040B"/>
    <w:rsid w:val="003463D0"/>
    <w:rsid w:val="0037035B"/>
    <w:rsid w:val="003712BE"/>
    <w:rsid w:val="00386490"/>
    <w:rsid w:val="003F3350"/>
    <w:rsid w:val="004052F1"/>
    <w:rsid w:val="004054D7"/>
    <w:rsid w:val="00407959"/>
    <w:rsid w:val="00433927"/>
    <w:rsid w:val="00441AE5"/>
    <w:rsid w:val="00472410"/>
    <w:rsid w:val="004808AB"/>
    <w:rsid w:val="00481B13"/>
    <w:rsid w:val="004942C7"/>
    <w:rsid w:val="004C2DB5"/>
    <w:rsid w:val="004E5EC3"/>
    <w:rsid w:val="00514AB8"/>
    <w:rsid w:val="00516871"/>
    <w:rsid w:val="00534669"/>
    <w:rsid w:val="005830C7"/>
    <w:rsid w:val="00583D9F"/>
    <w:rsid w:val="00583E82"/>
    <w:rsid w:val="005E7C0D"/>
    <w:rsid w:val="00600DEC"/>
    <w:rsid w:val="00620216"/>
    <w:rsid w:val="00693AC6"/>
    <w:rsid w:val="006A1FF5"/>
    <w:rsid w:val="006A7959"/>
    <w:rsid w:val="006B5648"/>
    <w:rsid w:val="006C7B04"/>
    <w:rsid w:val="006D236D"/>
    <w:rsid w:val="00703240"/>
    <w:rsid w:val="00722476"/>
    <w:rsid w:val="00725C0D"/>
    <w:rsid w:val="00727855"/>
    <w:rsid w:val="00735987"/>
    <w:rsid w:val="007436E3"/>
    <w:rsid w:val="007B146E"/>
    <w:rsid w:val="007D210B"/>
    <w:rsid w:val="008048A0"/>
    <w:rsid w:val="00825433"/>
    <w:rsid w:val="008603B8"/>
    <w:rsid w:val="008B171D"/>
    <w:rsid w:val="008B33DB"/>
    <w:rsid w:val="0091023B"/>
    <w:rsid w:val="009217D3"/>
    <w:rsid w:val="00945EF6"/>
    <w:rsid w:val="00993ECA"/>
    <w:rsid w:val="009B70C9"/>
    <w:rsid w:val="009F129B"/>
    <w:rsid w:val="00A06902"/>
    <w:rsid w:val="00A31912"/>
    <w:rsid w:val="00A47B2E"/>
    <w:rsid w:val="00A85FDA"/>
    <w:rsid w:val="00AA51ED"/>
    <w:rsid w:val="00AA6D75"/>
    <w:rsid w:val="00AF309D"/>
    <w:rsid w:val="00B074DD"/>
    <w:rsid w:val="00B33E7C"/>
    <w:rsid w:val="00B42E76"/>
    <w:rsid w:val="00B470E9"/>
    <w:rsid w:val="00B82B9E"/>
    <w:rsid w:val="00B91236"/>
    <w:rsid w:val="00B9681B"/>
    <w:rsid w:val="00BA584E"/>
    <w:rsid w:val="00BB2F94"/>
    <w:rsid w:val="00BC511A"/>
    <w:rsid w:val="00BD3AE9"/>
    <w:rsid w:val="00C04650"/>
    <w:rsid w:val="00C253AB"/>
    <w:rsid w:val="00C75772"/>
    <w:rsid w:val="00C86460"/>
    <w:rsid w:val="00CA7268"/>
    <w:rsid w:val="00CB2C2A"/>
    <w:rsid w:val="00CB6480"/>
    <w:rsid w:val="00CC02A8"/>
    <w:rsid w:val="00CC12FB"/>
    <w:rsid w:val="00CE1B3E"/>
    <w:rsid w:val="00CE347D"/>
    <w:rsid w:val="00D04669"/>
    <w:rsid w:val="00D53255"/>
    <w:rsid w:val="00D73D42"/>
    <w:rsid w:val="00DD3865"/>
    <w:rsid w:val="00DF2B7A"/>
    <w:rsid w:val="00E0054E"/>
    <w:rsid w:val="00E22145"/>
    <w:rsid w:val="00E23741"/>
    <w:rsid w:val="00E343ED"/>
    <w:rsid w:val="00E6531C"/>
    <w:rsid w:val="00EA7991"/>
    <w:rsid w:val="00EC44F4"/>
    <w:rsid w:val="00EF26B9"/>
    <w:rsid w:val="00F254ED"/>
    <w:rsid w:val="00F44BDB"/>
    <w:rsid w:val="00F662D6"/>
    <w:rsid w:val="00FD6C9E"/>
    <w:rsid w:val="00FF2320"/>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F4AA"/>
  <w15:chartTrackingRefBased/>
  <w15:docId w15:val="{AB9FA31A-F88D-4CB5-98B0-EE1694C2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D3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4650"/>
    <w:pPr>
      <w:ind w:left="720"/>
      <w:contextualSpacing/>
    </w:pPr>
  </w:style>
  <w:style w:type="character" w:styleId="Hipercze">
    <w:name w:val="Hyperlink"/>
    <w:basedOn w:val="Domylnaczcionkaakapitu"/>
    <w:uiPriority w:val="99"/>
    <w:unhideWhenUsed/>
    <w:rsid w:val="0012762C"/>
    <w:rPr>
      <w:color w:val="0563C1" w:themeColor="hyperlink"/>
      <w:u w:val="single"/>
    </w:rPr>
  </w:style>
  <w:style w:type="character" w:customStyle="1" w:styleId="a11">
    <w:name w:val="a11"/>
    <w:rsid w:val="00220F30"/>
    <w:rPr>
      <w:rFonts w:ascii="Verdana" w:hAnsi="Verdana" w:cs="Times New Roman"/>
      <w:sz w:val="17"/>
      <w:szCs w:val="17"/>
    </w:rPr>
  </w:style>
  <w:style w:type="paragraph" w:styleId="Tekstdymka">
    <w:name w:val="Balloon Text"/>
    <w:basedOn w:val="Normalny"/>
    <w:link w:val="TekstdymkaZnak"/>
    <w:uiPriority w:val="99"/>
    <w:semiHidden/>
    <w:unhideWhenUsed/>
    <w:rsid w:val="00220F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F30"/>
    <w:rPr>
      <w:rFonts w:ascii="Segoe UI" w:hAnsi="Segoe UI" w:cs="Segoe UI"/>
      <w:sz w:val="18"/>
      <w:szCs w:val="18"/>
    </w:rPr>
  </w:style>
  <w:style w:type="character" w:styleId="Odwoaniedokomentarza">
    <w:name w:val="annotation reference"/>
    <w:basedOn w:val="Domylnaczcionkaakapitu"/>
    <w:uiPriority w:val="99"/>
    <w:semiHidden/>
    <w:unhideWhenUsed/>
    <w:rsid w:val="00220F30"/>
    <w:rPr>
      <w:sz w:val="16"/>
      <w:szCs w:val="16"/>
    </w:rPr>
  </w:style>
  <w:style w:type="paragraph" w:styleId="Tekstkomentarza">
    <w:name w:val="annotation text"/>
    <w:basedOn w:val="Normalny"/>
    <w:link w:val="TekstkomentarzaZnak"/>
    <w:uiPriority w:val="99"/>
    <w:semiHidden/>
    <w:unhideWhenUsed/>
    <w:rsid w:val="00220F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F30"/>
    <w:rPr>
      <w:sz w:val="20"/>
      <w:szCs w:val="20"/>
    </w:rPr>
  </w:style>
  <w:style w:type="paragraph" w:styleId="Tematkomentarza">
    <w:name w:val="annotation subject"/>
    <w:basedOn w:val="Tekstkomentarza"/>
    <w:next w:val="Tekstkomentarza"/>
    <w:link w:val="TematkomentarzaZnak"/>
    <w:uiPriority w:val="99"/>
    <w:semiHidden/>
    <w:unhideWhenUsed/>
    <w:rsid w:val="00220F30"/>
    <w:rPr>
      <w:b/>
      <w:bCs/>
    </w:rPr>
  </w:style>
  <w:style w:type="character" w:customStyle="1" w:styleId="TematkomentarzaZnak">
    <w:name w:val="Temat komentarza Znak"/>
    <w:basedOn w:val="TekstkomentarzaZnak"/>
    <w:link w:val="Tematkomentarza"/>
    <w:uiPriority w:val="99"/>
    <w:semiHidden/>
    <w:rsid w:val="00220F30"/>
    <w:rPr>
      <w:b/>
      <w:bCs/>
      <w:sz w:val="20"/>
      <w:szCs w:val="20"/>
    </w:rPr>
  </w:style>
  <w:style w:type="character" w:styleId="Pogrubienie">
    <w:name w:val="Strong"/>
    <w:basedOn w:val="Domylnaczcionkaakapitu"/>
    <w:uiPriority w:val="22"/>
    <w:qFormat/>
    <w:rsid w:val="00B33E7C"/>
    <w:rPr>
      <w:b/>
      <w:bCs/>
    </w:rPr>
  </w:style>
  <w:style w:type="character" w:customStyle="1" w:styleId="Nagwek1Znak">
    <w:name w:val="Nagłówek 1 Znak"/>
    <w:basedOn w:val="Domylnaczcionkaakapitu"/>
    <w:link w:val="Nagwek1"/>
    <w:uiPriority w:val="9"/>
    <w:rsid w:val="00DD3865"/>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4E5E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5EC3"/>
    <w:rPr>
      <w:sz w:val="20"/>
      <w:szCs w:val="20"/>
    </w:rPr>
  </w:style>
  <w:style w:type="character" w:styleId="Odwoanieprzypisukocowego">
    <w:name w:val="endnote reference"/>
    <w:basedOn w:val="Domylnaczcionkaakapitu"/>
    <w:uiPriority w:val="99"/>
    <w:semiHidden/>
    <w:unhideWhenUsed/>
    <w:rsid w:val="004E5EC3"/>
    <w:rPr>
      <w:vertAlign w:val="superscript"/>
    </w:rPr>
  </w:style>
  <w:style w:type="character" w:customStyle="1" w:styleId="Bodytext2">
    <w:name w:val="Body text (2)_"/>
    <w:basedOn w:val="Domylnaczcionkaakapitu"/>
    <w:link w:val="Bodytext20"/>
    <w:rsid w:val="00CB6480"/>
    <w:rPr>
      <w:rFonts w:ascii="Book Antiqua" w:eastAsia="Book Antiqua" w:hAnsi="Book Antiqua" w:cs="Book Antiqua"/>
      <w:shd w:val="clear" w:color="auto" w:fill="FFFFFF"/>
    </w:rPr>
  </w:style>
  <w:style w:type="paragraph" w:customStyle="1" w:styleId="Bodytext20">
    <w:name w:val="Body text (2)"/>
    <w:basedOn w:val="Normalny"/>
    <w:link w:val="Bodytext2"/>
    <w:rsid w:val="00CB6480"/>
    <w:pPr>
      <w:widowControl w:val="0"/>
      <w:shd w:val="clear" w:color="auto" w:fill="FFFFFF"/>
      <w:spacing w:before="300" w:after="300" w:line="341" w:lineRule="exact"/>
      <w:ind w:hanging="460"/>
      <w:jc w:val="both"/>
    </w:pPr>
    <w:rPr>
      <w:rFonts w:ascii="Book Antiqua" w:eastAsia="Book Antiqua" w:hAnsi="Book Antiqua" w:cs="Book Antiqua"/>
    </w:rPr>
  </w:style>
  <w:style w:type="character" w:customStyle="1" w:styleId="bold">
    <w:name w:val="bold"/>
    <w:basedOn w:val="Domylnaczcionkaakapitu"/>
    <w:rsid w:val="002B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1099">
      <w:bodyDiv w:val="1"/>
      <w:marLeft w:val="0"/>
      <w:marRight w:val="0"/>
      <w:marTop w:val="0"/>
      <w:marBottom w:val="0"/>
      <w:divBdr>
        <w:top w:val="none" w:sz="0" w:space="0" w:color="auto"/>
        <w:left w:val="none" w:sz="0" w:space="0" w:color="auto"/>
        <w:bottom w:val="none" w:sz="0" w:space="0" w:color="auto"/>
        <w:right w:val="none" w:sz="0" w:space="0" w:color="auto"/>
      </w:divBdr>
    </w:div>
    <w:div w:id="546570353">
      <w:bodyDiv w:val="1"/>
      <w:marLeft w:val="0"/>
      <w:marRight w:val="0"/>
      <w:marTop w:val="0"/>
      <w:marBottom w:val="0"/>
      <w:divBdr>
        <w:top w:val="none" w:sz="0" w:space="0" w:color="auto"/>
        <w:left w:val="none" w:sz="0" w:space="0" w:color="auto"/>
        <w:bottom w:val="none" w:sz="0" w:space="0" w:color="auto"/>
        <w:right w:val="none" w:sz="0" w:space="0" w:color="auto"/>
      </w:divBdr>
      <w:divsChild>
        <w:div w:id="540751633">
          <w:marLeft w:val="0"/>
          <w:marRight w:val="0"/>
          <w:marTop w:val="0"/>
          <w:marBottom w:val="0"/>
          <w:divBdr>
            <w:top w:val="none" w:sz="0" w:space="0" w:color="auto"/>
            <w:left w:val="none" w:sz="0" w:space="0" w:color="auto"/>
            <w:bottom w:val="none" w:sz="0" w:space="0" w:color="auto"/>
            <w:right w:val="none" w:sz="0" w:space="0" w:color="auto"/>
          </w:divBdr>
          <w:divsChild>
            <w:div w:id="2035617830">
              <w:marLeft w:val="0"/>
              <w:marRight w:val="0"/>
              <w:marTop w:val="0"/>
              <w:marBottom w:val="0"/>
              <w:divBdr>
                <w:top w:val="none" w:sz="0" w:space="0" w:color="auto"/>
                <w:left w:val="none" w:sz="0" w:space="0" w:color="auto"/>
                <w:bottom w:val="none" w:sz="0" w:space="0" w:color="auto"/>
                <w:right w:val="none" w:sz="0" w:space="0" w:color="auto"/>
              </w:divBdr>
              <w:divsChild>
                <w:div w:id="567804097">
                  <w:marLeft w:val="0"/>
                  <w:marRight w:val="0"/>
                  <w:marTop w:val="0"/>
                  <w:marBottom w:val="0"/>
                  <w:divBdr>
                    <w:top w:val="none" w:sz="0" w:space="0" w:color="auto"/>
                    <w:left w:val="none" w:sz="0" w:space="0" w:color="auto"/>
                    <w:bottom w:val="none" w:sz="0" w:space="0" w:color="auto"/>
                    <w:right w:val="none" w:sz="0" w:space="0" w:color="auto"/>
                  </w:divBdr>
                  <w:divsChild>
                    <w:div w:id="1758667616">
                      <w:marLeft w:val="0"/>
                      <w:marRight w:val="0"/>
                      <w:marTop w:val="0"/>
                      <w:marBottom w:val="0"/>
                      <w:divBdr>
                        <w:top w:val="none" w:sz="0" w:space="0" w:color="auto"/>
                        <w:left w:val="none" w:sz="0" w:space="0" w:color="auto"/>
                        <w:bottom w:val="none" w:sz="0" w:space="0" w:color="auto"/>
                        <w:right w:val="none" w:sz="0" w:space="0" w:color="auto"/>
                      </w:divBdr>
                      <w:divsChild>
                        <w:div w:id="1762792726">
                          <w:marLeft w:val="0"/>
                          <w:marRight w:val="0"/>
                          <w:marTop w:val="0"/>
                          <w:marBottom w:val="0"/>
                          <w:divBdr>
                            <w:top w:val="none" w:sz="0" w:space="0" w:color="auto"/>
                            <w:left w:val="none" w:sz="0" w:space="0" w:color="auto"/>
                            <w:bottom w:val="none" w:sz="0" w:space="0" w:color="auto"/>
                            <w:right w:val="none" w:sz="0" w:space="0" w:color="auto"/>
                          </w:divBdr>
                          <w:divsChild>
                            <w:div w:id="15648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825377">
      <w:bodyDiv w:val="1"/>
      <w:marLeft w:val="0"/>
      <w:marRight w:val="0"/>
      <w:marTop w:val="0"/>
      <w:marBottom w:val="0"/>
      <w:divBdr>
        <w:top w:val="none" w:sz="0" w:space="0" w:color="auto"/>
        <w:left w:val="none" w:sz="0" w:space="0" w:color="auto"/>
        <w:bottom w:val="none" w:sz="0" w:space="0" w:color="auto"/>
        <w:right w:val="none" w:sz="0" w:space="0" w:color="auto"/>
      </w:divBdr>
    </w:div>
    <w:div w:id="642466704">
      <w:bodyDiv w:val="1"/>
      <w:marLeft w:val="0"/>
      <w:marRight w:val="0"/>
      <w:marTop w:val="0"/>
      <w:marBottom w:val="0"/>
      <w:divBdr>
        <w:top w:val="none" w:sz="0" w:space="0" w:color="auto"/>
        <w:left w:val="none" w:sz="0" w:space="0" w:color="auto"/>
        <w:bottom w:val="none" w:sz="0" w:space="0" w:color="auto"/>
        <w:right w:val="none" w:sz="0" w:space="0" w:color="auto"/>
      </w:divBdr>
    </w:div>
    <w:div w:id="810639577">
      <w:bodyDiv w:val="1"/>
      <w:marLeft w:val="0"/>
      <w:marRight w:val="0"/>
      <w:marTop w:val="0"/>
      <w:marBottom w:val="0"/>
      <w:divBdr>
        <w:top w:val="none" w:sz="0" w:space="0" w:color="auto"/>
        <w:left w:val="none" w:sz="0" w:space="0" w:color="auto"/>
        <w:bottom w:val="none" w:sz="0" w:space="0" w:color="auto"/>
        <w:right w:val="none" w:sz="0" w:space="0" w:color="auto"/>
      </w:divBdr>
    </w:div>
    <w:div w:id="842282301">
      <w:bodyDiv w:val="1"/>
      <w:marLeft w:val="0"/>
      <w:marRight w:val="0"/>
      <w:marTop w:val="0"/>
      <w:marBottom w:val="0"/>
      <w:divBdr>
        <w:top w:val="none" w:sz="0" w:space="0" w:color="auto"/>
        <w:left w:val="none" w:sz="0" w:space="0" w:color="auto"/>
        <w:bottom w:val="none" w:sz="0" w:space="0" w:color="auto"/>
        <w:right w:val="none" w:sz="0" w:space="0" w:color="auto"/>
      </w:divBdr>
    </w:div>
    <w:div w:id="955714380">
      <w:bodyDiv w:val="1"/>
      <w:marLeft w:val="0"/>
      <w:marRight w:val="0"/>
      <w:marTop w:val="0"/>
      <w:marBottom w:val="0"/>
      <w:divBdr>
        <w:top w:val="none" w:sz="0" w:space="0" w:color="auto"/>
        <w:left w:val="none" w:sz="0" w:space="0" w:color="auto"/>
        <w:bottom w:val="none" w:sz="0" w:space="0" w:color="auto"/>
        <w:right w:val="none" w:sz="0" w:space="0" w:color="auto"/>
      </w:divBdr>
    </w:div>
    <w:div w:id="996298773">
      <w:bodyDiv w:val="1"/>
      <w:marLeft w:val="0"/>
      <w:marRight w:val="0"/>
      <w:marTop w:val="0"/>
      <w:marBottom w:val="0"/>
      <w:divBdr>
        <w:top w:val="none" w:sz="0" w:space="0" w:color="auto"/>
        <w:left w:val="none" w:sz="0" w:space="0" w:color="auto"/>
        <w:bottom w:val="none" w:sz="0" w:space="0" w:color="auto"/>
        <w:right w:val="none" w:sz="0" w:space="0" w:color="auto"/>
      </w:divBdr>
    </w:div>
    <w:div w:id="1238200468">
      <w:bodyDiv w:val="1"/>
      <w:marLeft w:val="0"/>
      <w:marRight w:val="0"/>
      <w:marTop w:val="0"/>
      <w:marBottom w:val="0"/>
      <w:divBdr>
        <w:top w:val="none" w:sz="0" w:space="0" w:color="auto"/>
        <w:left w:val="none" w:sz="0" w:space="0" w:color="auto"/>
        <w:bottom w:val="none" w:sz="0" w:space="0" w:color="auto"/>
        <w:right w:val="none" w:sz="0" w:space="0" w:color="auto"/>
      </w:divBdr>
    </w:div>
    <w:div w:id="1886017058">
      <w:bodyDiv w:val="1"/>
      <w:marLeft w:val="0"/>
      <w:marRight w:val="0"/>
      <w:marTop w:val="0"/>
      <w:marBottom w:val="0"/>
      <w:divBdr>
        <w:top w:val="none" w:sz="0" w:space="0" w:color="auto"/>
        <w:left w:val="none" w:sz="0" w:space="0" w:color="auto"/>
        <w:bottom w:val="none" w:sz="0" w:space="0" w:color="auto"/>
        <w:right w:val="none" w:sz="0" w:space="0" w:color="auto"/>
      </w:divBdr>
    </w:div>
    <w:div w:id="20579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405</Words>
  <Characters>2311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Zdeb</dc:creator>
  <cp:keywords/>
  <dc:description/>
  <cp:lastModifiedBy>magdalena.jakubowska@reinopartners.com</cp:lastModifiedBy>
  <cp:revision>10</cp:revision>
  <dcterms:created xsi:type="dcterms:W3CDTF">2021-06-21T08:35:00Z</dcterms:created>
  <dcterms:modified xsi:type="dcterms:W3CDTF">2021-06-29T13:01:00Z</dcterms:modified>
</cp:coreProperties>
</file>